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Title 40: Protection of Environment</w:t>
      </w:r>
      <w:r w:rsidRPr="0068548C">
        <w:rPr>
          <w:rFonts w:ascii="Book Antiqua" w:eastAsia="Times New Roman" w:hAnsi="Book Antiqua" w:cs="Arial"/>
          <w:sz w:val="16"/>
          <w:szCs w:val="16"/>
        </w:rPr>
        <w:br/>
      </w:r>
      <w:bookmarkStart w:id="0" w:name="40:6.0.1.1.1"/>
      <w:r w:rsidR="00A11830" w:rsidRPr="0068548C">
        <w:rPr>
          <w:rFonts w:ascii="Book Antiqua" w:eastAsia="Times New Roman" w:hAnsi="Book Antiqua" w:cs="Arial"/>
          <w:sz w:val="16"/>
          <w:szCs w:val="16"/>
        </w:rPr>
        <w:fldChar w:fldCharType="begin"/>
      </w:r>
      <w:r w:rsidRPr="0068548C">
        <w:rPr>
          <w:rFonts w:ascii="Book Antiqua" w:eastAsia="Times New Roman" w:hAnsi="Book Antiqua" w:cs="Arial"/>
          <w:sz w:val="16"/>
          <w:szCs w:val="16"/>
        </w:rPr>
        <w:instrText xml:space="preserve"> HYPERLINK "http://ecfr.gpoaccess.gov/cgi/t/text/text-idx?c=ecfr;rgn=div5;view=text;node=40%3A6.0.1.1.1;idno=40;sid=80706828579744231a7c668a07820fa3;cc=ecfr" </w:instrText>
      </w:r>
      <w:r w:rsidR="00A11830" w:rsidRPr="0068548C">
        <w:rPr>
          <w:rFonts w:ascii="Book Antiqua" w:eastAsia="Times New Roman" w:hAnsi="Book Antiqua" w:cs="Arial"/>
          <w:sz w:val="16"/>
          <w:szCs w:val="16"/>
        </w:rPr>
        <w:fldChar w:fldCharType="separate"/>
      </w:r>
      <w:r w:rsidRPr="0068548C">
        <w:rPr>
          <w:rFonts w:ascii="Book Antiqua" w:eastAsia="Times New Roman" w:hAnsi="Book Antiqua" w:cs="Arial"/>
          <w:color w:val="0000FF"/>
          <w:sz w:val="16"/>
          <w:szCs w:val="16"/>
          <w:u w:val="single"/>
        </w:rPr>
        <w:t>PART 60—STANDARDS OF PERFORMANCE FOR NEW STATIONARY SOURCES</w:t>
      </w:r>
      <w:r w:rsidR="00A11830" w:rsidRPr="0068548C">
        <w:rPr>
          <w:rFonts w:ascii="Book Antiqua" w:eastAsia="Times New Roman" w:hAnsi="Book Antiqua" w:cs="Arial"/>
          <w:sz w:val="16"/>
          <w:szCs w:val="16"/>
        </w:rPr>
        <w:fldChar w:fldCharType="end"/>
      </w:r>
      <w:bookmarkEnd w:id="0"/>
      <w:r w:rsidRPr="0068548C">
        <w:rPr>
          <w:rFonts w:ascii="Book Antiqua" w:eastAsia="Times New Roman" w:hAnsi="Book Antiqua" w:cs="Arial"/>
          <w:sz w:val="16"/>
          <w:szCs w:val="16"/>
        </w:rPr>
        <w:t xml:space="preserve"> </w:t>
      </w:r>
    </w:p>
    <w:p w:rsidR="0068548C" w:rsidRPr="0068548C" w:rsidRDefault="00A11830" w:rsidP="0068548C">
      <w:pPr>
        <w:spacing w:before="100" w:beforeAutospacing="1" w:after="100" w:afterAutospacing="1" w:line="240" w:lineRule="auto"/>
        <w:rPr>
          <w:rFonts w:ascii="Book Antiqua" w:eastAsia="Times New Roman" w:hAnsi="Book Antiqua" w:cs="Times New Roman"/>
          <w:sz w:val="16"/>
          <w:szCs w:val="16"/>
        </w:rPr>
      </w:pPr>
      <w:hyperlink r:id="rId6" w:history="1">
        <w:r w:rsidR="0068548C" w:rsidRPr="0068548C">
          <w:rPr>
            <w:rFonts w:ascii="Book Antiqua" w:eastAsia="Times New Roman" w:hAnsi="Book Antiqua" w:cs="Arial"/>
            <w:color w:val="0000FF"/>
            <w:sz w:val="16"/>
            <w:szCs w:val="16"/>
            <w:u w:val="single"/>
          </w:rPr>
          <w:t>Browse Next</w:t>
        </w:r>
      </w:hyperlink>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Subpart A—General Provisions</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   Applicability.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(d) </w:t>
      </w:r>
      <w:r w:rsidRPr="0068548C">
        <w:rPr>
          <w:rFonts w:ascii="Book Antiqua" w:eastAsia="Times New Roman" w:hAnsi="Book Antiqua" w:cs="Arial"/>
          <w:i/>
          <w:iCs/>
          <w:sz w:val="16"/>
          <w:szCs w:val="16"/>
        </w:rPr>
        <w:t xml:space="preserve">Site-specific standard for Merck &amp; Co., Inc.'s Stonewall Plant in Elkton, Virginia. </w:t>
      </w:r>
      <w:r w:rsidRPr="0068548C">
        <w:rPr>
          <w:rFonts w:ascii="Book Antiqua" w:eastAsia="Times New Roman" w:hAnsi="Book Antiqua" w:cs="Arial"/>
          <w:sz w:val="16"/>
          <w:szCs w:val="16"/>
        </w:rPr>
        <w:t>(1) This paragraph applies only to the pharmaceutical manufacturing facility, commonly referred to as the Stonewall Plant, located at Route 340 South, in Elkton, Virginia (“site”).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53346, Nov. 17, 1975, as amended at 55 FR 51382, Dec. 13, 1990; 59 FR 12427, Mar. 16, 1994; 62 FR 52641, Oct. 8, 1997]</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60.2   Definitions.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The terms used in this part are defined in the Act or in this section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Act </w:t>
      </w:r>
      <w:r w:rsidRPr="0068548C">
        <w:rPr>
          <w:rFonts w:ascii="Book Antiqua" w:eastAsia="Times New Roman" w:hAnsi="Book Antiqua" w:cs="Arial"/>
          <w:sz w:val="16"/>
          <w:szCs w:val="16"/>
        </w:rPr>
        <w:t xml:space="preserve">means the Clean Air Act (42 U.S.C. 7401 </w:t>
      </w:r>
      <w:r w:rsidRPr="0068548C">
        <w:rPr>
          <w:rFonts w:ascii="Book Antiqua" w:eastAsia="Times New Roman" w:hAnsi="Book Antiqua" w:cs="Arial"/>
          <w:i/>
          <w:iCs/>
          <w:sz w:val="16"/>
          <w:szCs w:val="16"/>
        </w:rPr>
        <w:t xml:space="preserve">et seq. </w:t>
      </w:r>
      <w:r w:rsidRPr="0068548C">
        <w:rPr>
          <w:rFonts w:ascii="Book Antiqua" w:eastAsia="Times New Roman" w:hAnsi="Book Antiqua" w:cs="Arial"/>
          <w:sz w:val="16"/>
          <w:szCs w:val="16"/>
        </w:rPr>
        <w: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Administrator </w:t>
      </w:r>
      <w:r w:rsidRPr="0068548C">
        <w:rPr>
          <w:rFonts w:ascii="Book Antiqua" w:eastAsia="Times New Roman" w:hAnsi="Book Antiqua" w:cs="Arial"/>
          <w:sz w:val="16"/>
          <w:szCs w:val="16"/>
        </w:rPr>
        <w:t>means the Administrator of the Environmental Protection Agency or his authorized representative.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Affected facility </w:t>
      </w:r>
      <w:r w:rsidRPr="0068548C">
        <w:rPr>
          <w:rFonts w:ascii="Book Antiqua" w:eastAsia="Times New Roman" w:hAnsi="Book Antiqua" w:cs="Arial"/>
          <w:sz w:val="16"/>
          <w:szCs w:val="16"/>
        </w:rPr>
        <w:t>means, with reference to a stationary source, any apparatus to which a standard is applicable.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Alternative method </w:t>
      </w:r>
      <w:r w:rsidRPr="0068548C">
        <w:rPr>
          <w:rFonts w:ascii="Book Antiqua" w:eastAsia="Times New Roman" w:hAnsi="Book Antiqua" w:cs="Arial"/>
          <w:sz w:val="16"/>
          <w:szCs w:val="16"/>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8162E0" w:rsidRDefault="0068548C" w:rsidP="004050D1">
      <w:pPr>
        <w:spacing w:before="100" w:beforeAutospacing="1" w:after="100" w:afterAutospacing="1" w:line="240" w:lineRule="auto"/>
        <w:rPr>
          <w:rFonts w:ascii="Book Antiqua" w:eastAsia="Times New Roman" w:hAnsi="Book Antiqua" w:cs="Arial"/>
          <w:sz w:val="16"/>
          <w:szCs w:val="16"/>
        </w:rPr>
        <w:sectPr w:rsidR="008162E0" w:rsidSect="00E8017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r w:rsidRPr="0068548C">
        <w:rPr>
          <w:rFonts w:ascii="Book Antiqua" w:eastAsia="Times New Roman" w:hAnsi="Book Antiqua" w:cs="Arial"/>
          <w:i/>
          <w:iCs/>
          <w:sz w:val="16"/>
          <w:szCs w:val="16"/>
        </w:rPr>
        <w:t xml:space="preserve">Approved permit program </w:t>
      </w:r>
      <w:r w:rsidRPr="0068548C">
        <w:rPr>
          <w:rFonts w:ascii="Book Antiqua" w:eastAsia="Times New Roman" w:hAnsi="Book Antiqua" w:cs="Arial"/>
          <w:sz w:val="16"/>
          <w:szCs w:val="16"/>
        </w:rPr>
        <w:t>means a State permit program approved by the Administrator as meeting the requirements of part 70 of this chapter or a Federal permit program established in this chapter pursuant to Title V of the Act (42 U.S.C. 7661).</w:t>
      </w:r>
    </w:p>
    <w:p w:rsidR="0068548C" w:rsidRPr="0068548C" w:rsidRDefault="0068548C" w:rsidP="004050D1">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Capital expenditure </w:t>
      </w:r>
      <w:r w:rsidRPr="0068548C">
        <w:rPr>
          <w:rFonts w:ascii="Book Antiqua" w:eastAsia="Times New Roman" w:hAnsi="Book Antiqua" w:cs="Arial"/>
          <w:sz w:val="16"/>
          <w:szCs w:val="16"/>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Clean coal technology demonstration project </w:t>
      </w:r>
      <w:r w:rsidRPr="0068548C">
        <w:rPr>
          <w:rFonts w:ascii="Book Antiqua" w:eastAsia="Times New Roman" w:hAnsi="Book Antiqua" w:cs="Arial"/>
          <w:sz w:val="16"/>
          <w:szCs w:val="16"/>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Commenced </w:t>
      </w:r>
      <w:r w:rsidRPr="0068548C">
        <w:rPr>
          <w:rFonts w:ascii="Book Antiqua" w:eastAsia="Times New Roman" w:hAnsi="Book Antiqua" w:cs="Arial"/>
          <w:sz w:val="16"/>
          <w:szCs w:val="16"/>
        </w:rPr>
        <w:t xml:space="preserve">means, with respect to the definition of </w:t>
      </w:r>
      <w:r w:rsidRPr="0068548C">
        <w:rPr>
          <w:rFonts w:ascii="Book Antiqua" w:eastAsia="Times New Roman" w:hAnsi="Book Antiqua" w:cs="Arial"/>
          <w:i/>
          <w:iCs/>
          <w:sz w:val="16"/>
          <w:szCs w:val="16"/>
        </w:rPr>
        <w:t xml:space="preserve">new source </w:t>
      </w:r>
      <w:r w:rsidRPr="0068548C">
        <w:rPr>
          <w:rFonts w:ascii="Book Antiqua" w:eastAsia="Times New Roman" w:hAnsi="Book Antiqua" w:cs="Arial"/>
          <w:sz w:val="16"/>
          <w:szCs w:val="16"/>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Construction </w:t>
      </w:r>
      <w:r w:rsidRPr="0068548C">
        <w:rPr>
          <w:rFonts w:ascii="Book Antiqua" w:eastAsia="Times New Roman" w:hAnsi="Book Antiqua" w:cs="Arial"/>
          <w:sz w:val="16"/>
          <w:szCs w:val="16"/>
        </w:rPr>
        <w:t>means fabrication, erection, or installation of an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Continuous monitoring system </w:t>
      </w:r>
      <w:r w:rsidRPr="0068548C">
        <w:rPr>
          <w:rFonts w:ascii="Book Antiqua" w:eastAsia="Times New Roman" w:hAnsi="Book Antiqua" w:cs="Arial"/>
          <w:sz w:val="16"/>
          <w:szCs w:val="16"/>
        </w:rPr>
        <w:t>means the total equipment, required under the emission monitoring sections in applicable subparts, used to sample and condition (if applicable), to analyze, and to provide a permanent record of emissions or process parameters.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Electric utility steam generating unit </w:t>
      </w:r>
      <w:r w:rsidRPr="0068548C">
        <w:rPr>
          <w:rFonts w:ascii="Book Antiqua" w:eastAsia="Times New Roman" w:hAnsi="Book Antiqua" w:cs="Arial"/>
          <w:sz w:val="16"/>
          <w:szCs w:val="16"/>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Equivalent method </w:t>
      </w:r>
      <w:r w:rsidRPr="0068548C">
        <w:rPr>
          <w:rFonts w:ascii="Book Antiqua" w:eastAsia="Times New Roman" w:hAnsi="Book Antiqua" w:cs="Arial"/>
          <w:sz w:val="16"/>
          <w:szCs w:val="16"/>
        </w:rPr>
        <w:t>means any method of sampling and analyzing for an air pollutant which has been demonstrated to the Administrator's satisfaction to have a consistent and quantitatively known relationship to the reference method, under specified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Excess Emissions and Monitoring Systems Performance Report </w:t>
      </w:r>
      <w:r w:rsidRPr="0068548C">
        <w:rPr>
          <w:rFonts w:ascii="Book Antiqua" w:eastAsia="Times New Roman" w:hAnsi="Book Antiqua" w:cs="Arial"/>
          <w:sz w:val="16"/>
          <w:szCs w:val="16"/>
        </w:rPr>
        <w:t>is a report that must be submitted periodically by a source in order to provide data on its compliance with stated emission limits and operating parameters, and on the performance of its monitoring systems.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Existing facility </w:t>
      </w:r>
      <w:r w:rsidRPr="0068548C">
        <w:rPr>
          <w:rFonts w:ascii="Book Antiqua" w:eastAsia="Times New Roman" w:hAnsi="Book Antiqua" w:cs="Arial"/>
          <w:sz w:val="16"/>
          <w:szCs w:val="16"/>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Force majeure </w:t>
      </w:r>
      <w:r w:rsidRPr="0068548C">
        <w:rPr>
          <w:rFonts w:ascii="Book Antiqua" w:eastAsia="Times New Roman" w:hAnsi="Book Antiqua" w:cs="Arial"/>
          <w:sz w:val="16"/>
          <w:szCs w:val="16"/>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Isokinetic sampling </w:t>
      </w:r>
      <w:r w:rsidRPr="0068548C">
        <w:rPr>
          <w:rFonts w:ascii="Book Antiqua" w:eastAsia="Times New Roman" w:hAnsi="Book Antiqua" w:cs="Arial"/>
          <w:sz w:val="16"/>
          <w:szCs w:val="16"/>
        </w:rPr>
        <w:t>means sampling in which the linear velocity of the gas entering the sampling nozzle is equal to that of the undisturbed gas stream at the sample point.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Issuance </w:t>
      </w:r>
      <w:r w:rsidRPr="0068548C">
        <w:rPr>
          <w:rFonts w:ascii="Book Antiqua" w:eastAsia="Times New Roman" w:hAnsi="Book Antiqua" w:cs="Arial"/>
          <w:sz w:val="16"/>
          <w:szCs w:val="16"/>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Malfunction </w:t>
      </w:r>
      <w:r w:rsidRPr="0068548C">
        <w:rPr>
          <w:rFonts w:ascii="Book Antiqua" w:eastAsia="Times New Roman" w:hAnsi="Book Antiqua" w:cs="Arial"/>
          <w:sz w:val="16"/>
          <w:szCs w:val="16"/>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Modification </w:t>
      </w:r>
      <w:r w:rsidRPr="0068548C">
        <w:rPr>
          <w:rFonts w:ascii="Book Antiqua" w:eastAsia="Times New Roman" w:hAnsi="Book Antiqua" w:cs="Arial"/>
          <w:sz w:val="16"/>
          <w:szCs w:val="16"/>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Monitoring device </w:t>
      </w:r>
      <w:r w:rsidRPr="0068548C">
        <w:rPr>
          <w:rFonts w:ascii="Book Antiqua" w:eastAsia="Times New Roman" w:hAnsi="Book Antiqua" w:cs="Arial"/>
          <w:sz w:val="16"/>
          <w:szCs w:val="16"/>
        </w:rPr>
        <w:t>means the total equipment, required under the monitoring of operations sections in applicable subparts, used to measure and record (if applicable) process parameters.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Nitrogen oxides </w:t>
      </w:r>
      <w:r w:rsidRPr="0068548C">
        <w:rPr>
          <w:rFonts w:ascii="Book Antiqua" w:eastAsia="Times New Roman" w:hAnsi="Book Antiqua" w:cs="Arial"/>
          <w:sz w:val="16"/>
          <w:szCs w:val="16"/>
        </w:rPr>
        <w:t>means all oxides of nitrogen except nitrous oxide, as measured by test methods set forth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One-hour period </w:t>
      </w:r>
      <w:r w:rsidRPr="0068548C">
        <w:rPr>
          <w:rFonts w:ascii="Book Antiqua" w:eastAsia="Times New Roman" w:hAnsi="Book Antiqua" w:cs="Arial"/>
          <w:sz w:val="16"/>
          <w:szCs w:val="16"/>
        </w:rPr>
        <w:t>means any 60-minute period commencing on the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Opacity </w:t>
      </w:r>
      <w:r w:rsidRPr="0068548C">
        <w:rPr>
          <w:rFonts w:ascii="Book Antiqua" w:eastAsia="Times New Roman" w:hAnsi="Book Antiqua" w:cs="Arial"/>
          <w:sz w:val="16"/>
          <w:szCs w:val="16"/>
        </w:rPr>
        <w:t>means the degree to which emissions reduce the transmission of light and obscure the view of an object in the background.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Owner or operator </w:t>
      </w:r>
      <w:r w:rsidRPr="0068548C">
        <w:rPr>
          <w:rFonts w:ascii="Book Antiqua" w:eastAsia="Times New Roman" w:hAnsi="Book Antiqua" w:cs="Arial"/>
          <w:sz w:val="16"/>
          <w:szCs w:val="16"/>
        </w:rPr>
        <w:t>means any person who owns, leases, operates, controls, or supervises an affected facility or a stationary source of which an affected facility is a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Part 70 permit </w:t>
      </w:r>
      <w:r w:rsidRPr="0068548C">
        <w:rPr>
          <w:rFonts w:ascii="Book Antiqua" w:eastAsia="Times New Roman" w:hAnsi="Book Antiqua" w:cs="Arial"/>
          <w:sz w:val="16"/>
          <w:szCs w:val="16"/>
        </w:rPr>
        <w:t>means any permit issued, renewed, or revised pursuant to part 70 of this chapter.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Particulate matter </w:t>
      </w:r>
      <w:r w:rsidRPr="0068548C">
        <w:rPr>
          <w:rFonts w:ascii="Book Antiqua" w:eastAsia="Times New Roman" w:hAnsi="Book Antiqua" w:cs="Arial"/>
          <w:sz w:val="16"/>
          <w:szCs w:val="16"/>
        </w:rPr>
        <w:t>means any finely divided solid or liquid material, other than uncombined water, as measured by the reference methods specified under each applicable subpart, or an equivalent or alternative method.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Permit program </w:t>
      </w:r>
      <w:r w:rsidRPr="0068548C">
        <w:rPr>
          <w:rFonts w:ascii="Book Antiqua" w:eastAsia="Times New Roman" w:hAnsi="Book Antiqua" w:cs="Arial"/>
          <w:sz w:val="16"/>
          <w:szCs w:val="16"/>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Permitting authority </w:t>
      </w:r>
      <w:r w:rsidRPr="0068548C">
        <w:rPr>
          <w:rFonts w:ascii="Book Antiqua" w:eastAsia="Times New Roman" w:hAnsi="Book Antiqua" w:cs="Arial"/>
          <w:sz w:val="16"/>
          <w:szCs w:val="16"/>
        </w:rPr>
        <w:t>means: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State air pollution control agency, local agency, other State agency, or other agency authorized by the Administrator to carry out a permit program under part 70 of this chapter;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Administrator, in the case of EPA-implemented permit programs under title V of the Act (42 U.S.C. 7661).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Proportional sampling </w:t>
      </w:r>
      <w:r w:rsidRPr="0068548C">
        <w:rPr>
          <w:rFonts w:ascii="Book Antiqua" w:eastAsia="Times New Roman" w:hAnsi="Book Antiqua" w:cs="Arial"/>
          <w:sz w:val="16"/>
          <w:szCs w:val="16"/>
        </w:rPr>
        <w:t>means sampling at a rate that produces a constant ratio of sampling rate to stack gas flow rate.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Reactivation of a very clean coal-fired electric utility steam generating unit </w:t>
      </w:r>
      <w:r w:rsidRPr="0068548C">
        <w:rPr>
          <w:rFonts w:ascii="Book Antiqua" w:eastAsia="Times New Roman" w:hAnsi="Book Antiqua" w:cs="Arial"/>
          <w:sz w:val="16"/>
          <w:szCs w:val="16"/>
        </w:rPr>
        <w:t>means any physical change or change in the method of operation associated with the commencement of commercial operations by a coal-fired utility unit after a period of discontinued operation where the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Has not been in operation for the two-year period prior to the enactment of the Clean Air Act Amendments of 1990, and the emissions from such unit continue to be carried in the permitting authority's emissions inventory at the time of enactment;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Was equipped prior to shut-down with a continuous system of emissions control that achieves a removal efficiency for sulfur dioxide of no less than 85 percent and a removal efficiency for particulates of no less than 98 percent;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Is equipped with low-NO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burners prior to the time of commencement of operations following reactivation;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Is otherwise in compliance with the requirements of the Clean Air Act.</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Reference method </w:t>
      </w:r>
      <w:r w:rsidRPr="0068548C">
        <w:rPr>
          <w:rFonts w:ascii="Book Antiqua" w:eastAsia="Times New Roman" w:hAnsi="Book Antiqua" w:cs="Arial"/>
          <w:sz w:val="16"/>
          <w:szCs w:val="16"/>
        </w:rPr>
        <w:t>means any method of sampling and analyzing for an air pollutant as specified in the applicable subpart.</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Repowering </w:t>
      </w:r>
      <w:r w:rsidRPr="0068548C">
        <w:rPr>
          <w:rFonts w:ascii="Book Antiqua" w:eastAsia="Times New Roman" w:hAnsi="Book Antiqua" w:cs="Arial"/>
          <w:sz w:val="16"/>
          <w:szCs w:val="16"/>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Run </w:t>
      </w:r>
      <w:r w:rsidRPr="0068548C">
        <w:rPr>
          <w:rFonts w:ascii="Book Antiqua" w:eastAsia="Times New Roman" w:hAnsi="Book Antiqua" w:cs="Arial"/>
          <w:sz w:val="16"/>
          <w:szCs w:val="16"/>
        </w:rPr>
        <w:t>means the net period of time during which an emission sample is collected. Unless otherwise specified, a run may be either intermittent or continuous within the limits of good engineering practice.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Shutdown </w:t>
      </w:r>
      <w:r w:rsidRPr="0068548C">
        <w:rPr>
          <w:rFonts w:ascii="Book Antiqua" w:eastAsia="Times New Roman" w:hAnsi="Book Antiqua" w:cs="Arial"/>
          <w:sz w:val="16"/>
          <w:szCs w:val="16"/>
        </w:rPr>
        <w:t>means the cessation of operation of an affected facility for any purpose.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Six-minute period </w:t>
      </w:r>
      <w:r w:rsidRPr="0068548C">
        <w:rPr>
          <w:rFonts w:ascii="Book Antiqua" w:eastAsia="Times New Roman" w:hAnsi="Book Antiqua" w:cs="Arial"/>
          <w:sz w:val="16"/>
          <w:szCs w:val="16"/>
        </w:rPr>
        <w:t>means any one of the 10 equal parts of a one-hour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Standard </w:t>
      </w:r>
      <w:r w:rsidRPr="0068548C">
        <w:rPr>
          <w:rFonts w:ascii="Book Antiqua" w:eastAsia="Times New Roman" w:hAnsi="Book Antiqua" w:cs="Arial"/>
          <w:sz w:val="16"/>
          <w:szCs w:val="16"/>
        </w:rPr>
        <w:t>means a standard of performance proposed or promulgated under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Standard conditions </w:t>
      </w:r>
      <w:r w:rsidRPr="0068548C">
        <w:rPr>
          <w:rFonts w:ascii="Book Antiqua" w:eastAsia="Times New Roman" w:hAnsi="Book Antiqua" w:cs="Arial"/>
          <w:sz w:val="16"/>
          <w:szCs w:val="16"/>
        </w:rPr>
        <w:t>means a temperature of 293 K (68F) and a pressure of 101.3 kilopascals (29.92 in Hg).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Startup </w:t>
      </w:r>
      <w:r w:rsidRPr="0068548C">
        <w:rPr>
          <w:rFonts w:ascii="Book Antiqua" w:eastAsia="Times New Roman" w:hAnsi="Book Antiqua" w:cs="Arial"/>
          <w:sz w:val="16"/>
          <w:szCs w:val="16"/>
        </w:rPr>
        <w:t>means the setting in operation of an affected facility for any purpose.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State </w:t>
      </w:r>
      <w:r w:rsidRPr="0068548C">
        <w:rPr>
          <w:rFonts w:ascii="Book Antiqua" w:eastAsia="Times New Roman" w:hAnsi="Book Antiqua" w:cs="Arial"/>
          <w:sz w:val="16"/>
          <w:szCs w:val="16"/>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Stationary source </w:t>
      </w:r>
      <w:r w:rsidRPr="0068548C">
        <w:rPr>
          <w:rFonts w:ascii="Book Antiqua" w:eastAsia="Times New Roman" w:hAnsi="Book Antiqua" w:cs="Arial"/>
          <w:sz w:val="16"/>
          <w:szCs w:val="16"/>
        </w:rPr>
        <w:t>means any building, structure, facility, or installation which emits or may emit any air pollutant.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Title V permit </w:t>
      </w:r>
      <w:r w:rsidRPr="0068548C">
        <w:rPr>
          <w:rFonts w:ascii="Book Antiqua" w:eastAsia="Times New Roman" w:hAnsi="Book Antiqua" w:cs="Arial"/>
          <w:sz w:val="16"/>
          <w:szCs w:val="16"/>
        </w:rPr>
        <w:t>means any permit issued, renewed, or revised pursuant to Federal or State regulations established to implement title V of the Act (42 U.S.C. 7661). A title V permit issued by a State permitting authority is called a part 70 permit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Volatile Organic Compound </w:t>
      </w:r>
      <w:r w:rsidRPr="0068548C">
        <w:rPr>
          <w:rFonts w:ascii="Book Antiqua" w:eastAsia="Times New Roman" w:hAnsi="Book Antiqua" w:cs="Arial"/>
          <w:sz w:val="16"/>
          <w:szCs w:val="16"/>
        </w:rPr>
        <w:t>means any organic compound which participates in atmospheric photochemical reactions; or which is measured by a reference method, an equivalent method, an alternative method, or which is determined by procedures specified under any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[44 FR 55173, Sept. 25, 1979, as amended at 45 FR 5617, Jan. 23, 1980; 45 FR 85415, Dec. 24, 1980; 54 FR 6662, Feb. 14, 1989; 55 FR 51382, Dec. 13, 1990; 57 FR 32338, July 21, 1992; 59 FR 12427, Mar. 16, 1994; 72 FR 27442, May 16, 2007]</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60.3   Units and abbreviations.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Used in this part are abbreviations and symbols of units of measure. These are defined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System International (SI) units of measure: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A—ampere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Hz—hertz</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J—joule</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K—degree Kelvin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kg—kilogram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w:t>
      </w: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 xml:space="preserve"> —cubic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mg—milligram—10</w:t>
      </w: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mm—millimeter—10</w:t>
      </w: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Mg—megagram—10</w:t>
      </w:r>
      <w:r w:rsidRPr="0068548C">
        <w:rPr>
          <w:rFonts w:ascii="Book Antiqua" w:eastAsia="Times New Roman" w:hAnsi="Book Antiqua" w:cs="Arial"/>
          <w:sz w:val="16"/>
          <w:szCs w:val="16"/>
          <w:vertAlign w:val="superscript"/>
        </w:rPr>
        <w:t>6</w:t>
      </w:r>
      <w:r w:rsidRPr="0068548C">
        <w:rPr>
          <w:rFonts w:ascii="Book Antiqua" w:eastAsia="Times New Roman" w:hAnsi="Book Antiqua" w:cs="Arial"/>
          <w:sz w:val="16"/>
          <w:szCs w:val="16"/>
        </w:rPr>
        <w:t xml:space="preserve"> 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mol—mole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N—newton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ng—nanogram—10</w:t>
      </w:r>
      <w:r w:rsidRPr="0068548C">
        <w:rPr>
          <w:rFonts w:ascii="Book Antiqua" w:eastAsia="Times New Roman" w:hAnsi="Book Antiqua" w:cs="Arial"/>
          <w:sz w:val="16"/>
          <w:szCs w:val="16"/>
          <w:vertAlign w:val="superscript"/>
        </w:rPr>
        <w:t>−9</w:t>
      </w:r>
      <w:r w:rsidRPr="0068548C">
        <w:rPr>
          <w:rFonts w:ascii="Book Antiqua" w:eastAsia="Times New Roman" w:hAnsi="Book Antiqua" w:cs="Arial"/>
          <w:sz w:val="16"/>
          <w:szCs w:val="16"/>
        </w:rPr>
        <w:t>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nm—nanometer—10</w:t>
      </w:r>
      <w:r w:rsidRPr="0068548C">
        <w:rPr>
          <w:rFonts w:ascii="Book Antiqua" w:eastAsia="Times New Roman" w:hAnsi="Book Antiqua" w:cs="Arial"/>
          <w:sz w:val="16"/>
          <w:szCs w:val="16"/>
          <w:vertAlign w:val="superscript"/>
        </w:rPr>
        <w:t>−9</w:t>
      </w:r>
      <w:r w:rsidRPr="0068548C">
        <w:rPr>
          <w:rFonts w:ascii="Book Antiqua" w:eastAsia="Times New Roman" w:hAnsi="Book Antiqua" w:cs="Arial"/>
          <w:sz w:val="16"/>
          <w:szCs w:val="16"/>
        </w:rPr>
        <w:t>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Pa—pascal</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s—second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V—volt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W—watt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Ω—ohm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µg—microgram—10</w:t>
      </w:r>
      <w:r w:rsidRPr="0068548C">
        <w:rPr>
          <w:rFonts w:ascii="Book Antiqua" w:eastAsia="Times New Roman" w:hAnsi="Book Antiqua" w:cs="Arial"/>
          <w:sz w:val="16"/>
          <w:szCs w:val="16"/>
          <w:vertAlign w:val="superscript"/>
        </w:rPr>
        <w:t>−6</w:t>
      </w:r>
      <w:r w:rsidRPr="0068548C">
        <w:rPr>
          <w:rFonts w:ascii="Book Antiqua" w:eastAsia="Times New Roman" w:hAnsi="Book Antiqua" w:cs="Arial"/>
          <w:sz w:val="16"/>
          <w:szCs w:val="16"/>
        </w:rPr>
        <w:t>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Other units of measure: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Btu—British thermal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°C—degree Celsius (centigrade)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cal—calorie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cfm—cubic feet per minute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cu ft—cubic feet</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dcf—dry cubic feet</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dcm—dry cubic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dscf—dry cubic feet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dscm—dry cubic meter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eq—equivalent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°F—degree Fahrenheit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ft—feet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gal—gallon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gr—grain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g-eq—gram equivalent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hr—hour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in—inch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k—1,000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l—liter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lpm—liter per minute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lb—pound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meq—milliequivalent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min—minute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ml—milliliter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mol. wt.—molecular weight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ppb—parts per billion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ppm—parts per million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psia—pounds per square inch absolute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psig—pounds per square inch gage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°R—degree Rankine</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scf—cubic feet at standard conditions</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scfh—cubic feet per hour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scm—cubic meter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sec—second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sq ft—square feet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std—at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Chemical nomenclature: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CdS—cadmium sulfide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CO—carbon monoxide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—carbon dioxide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HCl—hydrochloric acid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Hg—mercury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O—water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S—hydrogen sulfide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4</w:t>
      </w:r>
      <w:r w:rsidRPr="0068548C">
        <w:rPr>
          <w:rFonts w:ascii="Book Antiqua" w:eastAsia="Times New Roman" w:hAnsi="Book Antiqua" w:cs="Arial"/>
          <w:sz w:val="16"/>
          <w:szCs w:val="16"/>
        </w:rPr>
        <w:t>—sulfuric acid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—nitrogen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NO—nitric 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—nitrogen dioxide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—nitrogen oxides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—oxygen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—sulfur dioxide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3</w:t>
      </w:r>
      <w:r w:rsidRPr="0068548C">
        <w:rPr>
          <w:rFonts w:ascii="Book Antiqua" w:eastAsia="Times New Roman" w:hAnsi="Book Antiqua" w:cs="Arial"/>
          <w:sz w:val="16"/>
          <w:szCs w:val="16"/>
        </w:rPr>
        <w:t>—sulfur trioxide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—sulfur oxides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Miscellaneous: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A.S.T.M.—American Society for Testing and Materials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[42 FR 37000, July 19, 1977; 42 FR 38178, July 27, 1977]</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lastRenderedPageBreak/>
        <w:t>§ 60.4   Address.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 (Connecticut, Maine, Massachusetts, New Hampshire, Rhode Island, Vermont), Director, Air Management Division, U.S. Environmental Protection Agency, John F. Kennedy Federal Building, Boston, MA 02203.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II (New Jersey, New York, Puerto Rico, Virgin Islands), Director, Air and Waste Management Division, U.S. Environmental Protection Agency, Federal Office Building, 26 Federal Plaza (Foley Square), New York, NY 10278.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III (Delaware, District of Columbia, Maryland, Pennsylvania, Virginia, West Virginia), Director, Air Protection Division, Mail Code 3AP00, 1650 Arch Street, Philadelphia, PA 19103–2029.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IV (Alabama, Florida, Georgia, Kentucky, Mississippi, North Carolina, South Carolina, Tennessee), Director, Air and Waste Management Division, U.S. Environmental Protection Agency, 345 Courtland Street, NE., Atlanta, GA 30365.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 (Illinois, Indiana, Michigan, Minnesota, Ohio, Wisconsin), Director, Air and Radiation Division, U.S. Environmental Protection Agency, 77 West Jackson Boulevard, Chicago, IL 60604–3590.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VI (Arkansas, Louisiana, New Mexico, Oklahoma, Texas); Director; Air, Pesticides, and Toxics Division; U.S. Environmental Protection Agency, 1445 Ross Avenue, Dallas, TX 75202.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VII (Iowa, Kansas, Missouri, Nebraska), Director, Air, RCRA, and Toxics Division, U.S. Environmental Protection Agency, 901 N. 5th Street, Kansas City, KS 66101.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VIII (Colorado, Montana, North Dakota, South Dakota, Utah, Wyoming) Director, Air and Toxics Technical Enforcement Program, Office of Enforcement, Compliance and Environmental Justice, Mail Code 8ENF–AT, 1595 Wynkoop Street, Denver, CO 80202–1129.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X (Alaska, Oregon, Idaho, Washington), Director, Air and Waste Management Division, U.S. Environmental Protection Agency, 1200 Sixth Avenue, Seattle, WA 98101.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State of Alabama: Alabama Department of Environmental Management, P.O. Box 301463, Montgomery, Alabama 36130–1463.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State of Alaska, Department of Environmental Conservation, Pouch O, Juneau, AK 99811.</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(D) Arizona: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Arizona Department of Environmental Quality, 1110 West Washington Street, Phoenix, AZ 85007.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Maricopa County Air Quality Department, 1001 North Central Avenue, Suite 900, Phoenix, AZ 85004.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Pima County Department of Environmental Quality, 33 North Stone Avenue, Suite 700, Tucson, AZ 85701.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Pinal County Air Quality Control District, 31 North Pinal Street, Building F, Florence, AZ 85132.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State of Arkansas: Chief, Division of Air Pollution Control, Arkansas Department of Pollution Control and Ecology, 8001 National Drive, P.O. Box 9583, Little Rock, AR 72209.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California: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Amador County Air Pollution Control District, 12200–B Airport Road, Jackson, CA 95642.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Antelope Valley Air Quality Management District, 43301 Division Street, Suite 206, Lancaster, CA 93535.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Bay Area Air Quality Management District, 939 Ellis Street, San Francisco, CA 94109.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Butte County Air Quality Management District, 2525 Dominic Drive, Suite J, Chico, CA 95928.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Calaveras County Air Pollution Control District, 891 Mountain Ranch Road, San Andreas, CA 95249.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Colusa County Air Pollution Control District, 100 Sunrise Blvd., Suite A–3, Colusa, CA 95932–3246.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El Dorado County Air Quality Management District, 2850 Fairlane Court, Bldg. C, Placerville, CA 95667–4100.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Eastern Kern Air Pollution Control District, 2700 “M” Street, Suite 302, Bakersfield, CA 93301–2370.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Feather River Air Quality Management District, 1007 Live Oak Blvd., Suite B–3, Yuba City, CA 95991.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Glenn County Air Pollution Control District, 720 N. Colusa Street, P.O. Box 351, Willows, CA 95988–0351.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Great Basin Unified Air Pollution Control District, 157 Short Street, Suite 6, Bishop, CA 93514–3537.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Imperial County Air Pollution Control District, 150 South Ninth Street, El Centro, CA 92243–2801.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Lake County Air Quality Management District, 885 Lakeport Blvd., Lakeport, CA 95453–5405.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Lassen County Air Pollution Control District, 707 Nevada Street, Suite 1, Susanville, CA 96130.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Mariposa County Air Pollution Control District, P.O. Box 5, Mariposa, CA 95338.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Mendocino County Air Quality Management District, 306 E. Gobbi Street, Ukiah, CA 95482–5511.</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Modoc County Air Pollution Control District, 619 North Main Street, Alturas, CA 96101.</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Mojave Desert Air Quality Management District, 14306 Park Avenue, Victorville, CA 92392–2310.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Monterey Bay Unified Air Pollution Control District, 24580 Silver Cloud Court, Monterey, CA 93940.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North Coast Unified Air Quality Management District, 2300 Myrtle Avenue, Eureka, CA 95501–3327.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Northern Sierra Air Quality Management District, 200 Litton Drive, Suite 320, P.O. Box 2509, Grass Valley, CA 95945–2509.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Northern Sonoma County Air Pollution Control District, 150 Matheson Street, Healdsburg, CA 95448–4908.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Placer County Air Pollution Control District, 3091 County Center Drive, Suite 240, Auburn, CA 95603.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Sacramento Metropolitan Air Quality Management District, 777 12th Street, Third Floor, Sacramento, CA 95814–1908.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 Diego County Air Pollution Control District, 10124 Old Grove Road, San Diego, CA 92131–1649.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 Joaquin Valley Air Pollution Control District, 1990 E. Gettysburg, Fresno, CA 93726.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 Luis Obispo County Air Pollution Control District, 3433 Roberto Court, San Luis Obispo, CA 93401–7126.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Santa Barbara County Air Pollution Control District, 260 North San Antonio Road, Suite A, Santa Barbara, CA 93110–1315.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Shasta County Air Quality Management District, 1855 Placer Street, Suite 101, Redding, CA 96001–1759.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Siskiyou County Air Pollution Control District, 525 So. Foothill Drive, Yreka, CA 96097–3036.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South Coast Air Quality Management District, 21865 Copley Drive, Diamond Bar, CA 91765–4182.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Tehama County Air Pollution Control District, P.O. Box 8069 (1750 Walnut Street), Red Bluff, CA 96080–0038.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Tuolumne County Air Pollution Control District, 22365 Airport, Columbia, CA 95310.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Ventura County Air Pollution Control District, 669 County Square Drive, 2nd Floor, Ventura, CA 93003–5417.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Yolo-Solano Air Quality Management District, 1947 Galileo Court, Suite 103, Davis, CA 95616–4882.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State of Colorado, Department of Public Health and Environment, 4300 Cherry Creek Drive South, Denver, CO 80222–1530.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State of Connecticut, Bureau of Air Management, Department of Environmental Protection, State Office Building, 165 Capitol Avenue, Hartford, CT 06106.</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State of Delaware, Department of Natural Resources &amp; Environmental Control, 89 Kings Highway, P.O. Box 1401, Dover, Delaware 19903.</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 District of Columbia, Department of Public Health, Air Quality Division, 51 N Street, NE., Washington, DC 20002.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 State of Florida: Florida Department of Environmental Protection, Division of Air Resources Management, 2600 Blair Stone Road, MS 5500, Tallahassee, Florida 32399–2400.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 State of Georgia: Georgia Department of Natural Resources, Environmental Protection Division, 2 Martin Luther King Jr. Drive, SE., Suite 1152 East Floyd Tower, Atlanta, Georgia 30334–9000.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 Hawaii: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Clean Air Branch, Hawaii Department of Health, 919 Ala Moana Blvd., Suite 203, Honolulu, HI 96814.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 State of Idaho, Department of Health and Welfare, Statehouse, Boise, ID 83701.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 State of Illinois: Illinois Environmental Protection Agency, 1021 North Grand Avenue East, Springfield, Illinois 62794.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 State of Indiana: Indiana Department of Environmental Management, Office of Air Quality, 100 North Senate Avenue, Indianapolis, Indiana 46204.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(Q) State of Iowa: Iowa Department of Natural Resources, Environmental Protection Division, Air Quality Bureau, 7900 Hickman Road, Suite 1, Urbandale, IA 50322.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 State of Kansas: Kansas Department of Health and Environment, Bureau of Air and Radiation, 1000 S.W. Jackson, Suite 310, Topeka, KS 66612–1366.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 Commonwealth of Kentucky: Commonwealth of Kentucky, Energy and Environment Cabinet, Department of Environmental Protection, Division for Air Quality, 200 Fair Oaks Lane, 1st Floor, Frankfort, Kentucky 40610–1403.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Louisville Metro Air Pollution Control District, 850 Barret Avenue, Louisville, Kentucky 40204.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 State Louisiana: Louisiana Department of Environmental Quality, P.O. Box 4301, Baton Rouge, Louisiana 70821–4301. For a list of delegated standards for Louisiana (excluding Indian country), see paragraph (e)(2)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(U) State of Maine, Bureau of Air Quality Control, Department of Environmental Protection, State House, Station No. 17, Augusta, ME 04333.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State of Maryland, Department of the Environment, 1800 Washington Boulevard, Suite 705, Baltimore, Maryland 21230.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 Commonwealth of Massachusetts, Division of Air Quality Control, Department of Environmental Protection, One Winter Street, 7th floor, Boston, MA 02108.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 State of Michigan: Michigan Department of Natural Resources and Environment, Air Quality Division, P.O. Box 30028, Lansing, Michigan 48909.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(Y) State of Minnesota: Minnesota Pollution Control Agency, Division of Air Quality, 520 Lafayette Road North, St. Paul, Minnesota 55155.</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(Z) State of Mississippi: Mississippi Department of Environmental Quality, Office of Pollution Control, Air Division, 515 East Amite Street, Jackson, Mississippi 39201.</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(AA) State of Missouri: Missouri Department of Natural Resources, Division of Environmental Quality, P.O. Box 176, Jefferson City, MO 65102.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(BB) State of Montana, Department of Environmental Quality, 1520 E. 6th Ave., PO Box 200901, Helena, MT 59620–0901.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(CC) State of Nebraska, Nebraska Department of Environmental Control, P.O. Box 94877, State House Station, Lincoln, NE 68509.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Lincoln-Lancaster County Health Department, Division of Environmental Health, 2200 St. Marys Avenue, Lincoln, NE 68502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(DD) Nevada: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Nevada Division of Environmental Protection, 901 South Stewart Street, Suite 4001, Carson City, NV 89701–5249.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Clark County Department of Air Quality and Environmental Management, 500 S. Grand Central Parkway, 1st Floor, P.O. Box 555210, Las Vegas, NV 89155–5210.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Washoe County Health District, Air Quality Management Division, 1001 E. 9th Street, Building A, Suite 115A, Reno, NV 89520.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(EE) State of New Hampshire, Air Resources Division, Department of Environmental Services, 64 North Main Street, Caller Box 2033, Concord, NH 03302–2033.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(FF) State of New Jersey: New Jersey Department of Environmental Protection, Division of Environmental Quality, Enforcement Element, John Fitch Plaza, CN–027, Trenton, NJ 08625.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following table lists the specific source and pollutant categories that have been delegated to the states in Region II. The (X) symbol is used to indicate each category that has been delegated.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6300"/>
        <w:gridCol w:w="687"/>
        <w:gridCol w:w="598"/>
        <w:gridCol w:w="712"/>
        <w:gridCol w:w="849"/>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State</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New Jersey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New York</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Puerto Rico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Virgin Islands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for Which Construction Commenced After August 17, 1971 (Steam Generators and Lignite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for Which Construction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2"/>
        <w:gridCol w:w="8298"/>
        <w:gridCol w:w="165"/>
        <w:gridCol w:w="165"/>
        <w:gridCol w:w="165"/>
        <w:gridCol w:w="165"/>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Refineries—(All Categories)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Constructed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Constructed After May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Ingot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Iron and Steel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Arc Furnaces and Argon-Oxygen Decarburization Vessels in Steel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 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1"/>
        <w:gridCol w:w="8410"/>
        <w:gridCol w:w="153"/>
        <w:gridCol w:w="153"/>
        <w:gridCol w:w="153"/>
        <w:gridCol w:w="40"/>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Volatile Organic Compounds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Clearners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Plants;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(GG) State of New Mexico: New Mexico Environment Department, 1190 St. Francis Drive, P.O. Box 26110, Santa Fe, New Mexico 87502. Note: For a list of delegated standards for New Mexico (excluding Bernalillo County and Indian country), see paragraph (e)(1)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Albuquerque-Bernalillo County Air Quality Control Board, c/o Environmental Health Department, P.O. Box 1293, Albuquerque, New Mexico 87103.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(HH) New York: New York State Department of Environmental Conservation, 50 Wolf Road Albany, New York 12233, attention: Division of Air Resources.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State of North Carolina: North Carolina Department of Environment and Natural Resources, Division of Air Quality, 1641 Mail Service Center, Raleigh, North Carolina 27699–1641.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Forsyth County Environmental Affairs, 537 North Spruce Street, Winston-Salem, North Carolina 27101.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Mecklenburg County Air Quality, 700 N. Tryon St., Suite 205, Charlotte, North Carolina 28202–2236.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Western North Carolina Regional Air Quality Agency, 49 Mount Carmel Road, Asheville, North Carolina 28806.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(JJ) State of North Dakota, Division of Air Quality, North Dakota Department of Health, P.O. Box 5520, Bismarck, ND 58506–5520.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(KK) State of Ohio:</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Medina, Summit and Portage Counties; Director, Akron Regional Air Quality Management District, 146 South High Street, Room 904, Akron, OH 44308.</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Stark County; Director, Canton City Health Department, Air Pollution Control Division, 420 Market Avenue North, Canton, Ohio 44702–1544.</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(iii) Butler, Clermont, Hamilton, and Warren Counties; Director, Hamilton County Department of Environmental Services, 250 William Howard Taft Road, Cincinnati, Ohio 45219–2660.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Cuyahoga County; Commissioner, Cleveland Department of Public Health, Division of Air Quality, 75 Erieview Plaza 2nd Floor, Cleveland, Ohio 44114.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Clark, Darke, Greene, Miami, Montgomery, and Preble Counties; Director, Regional Air Pollution Control Agency, 117 South Main Street, Dayton, Ohio 45422–1280.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Lucas County and the City of Rossford (in Wood County); Director, City of Toledo, Division of Environmental Services, 348 South Erie Street, Toledo, OH 43604.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Adams, Brown, Lawrence, and Scioto Counties; Portsmouth Local Air Agency, 605 Washington Street, Third Floor, Portsmouth, OH 45662.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(ix) Ashtabula, Caroll, Colombiana, Holmes, Lorain, and Wayne Counties; Ohio Environmental Protection Agency, Northeast District Office, Air Pollution Unit, 2110 East Aurora Road, Twinsburg, OH 44087.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 Champaign, Clinton, Highland, Logan, and Shelby Counties; Ohio Environmental Protection Agency, Southwest District Office, Air Pollution Unit, 401 East Fifth Street, Dayton, Ohio 45402–2911.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(xii) Delaware, Fairfield, Fayette, Franklin, Knox, Licking, Madison, Morrow, Pickaway, and Union Counties; Ohio Environmental Protection Agency, Central District Office, Air Pollution control, 50 West Town Street, Suite 700, Columbus, Ohio 43215.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(xiii) Geauga and Lake Counties; Lake County General Health District, Air Pollution Control, 33 Mill Street, Painesville, OH 44077.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(xiv) Mahoning and Trumbull Counties; Mahoning-Trumbull Air Pollution Control Agency, 345 Oak Hill Avenue, Suite 200, Youngstown, OH 44502.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(LL) State of Oklahoma, Oklahoma State Department of Health, Air Quality Service, P.O. Box 53551, Oklahoma City, OK 73152.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Oklahoma City and County: Director, Oklahoma City-County Health Department, 921 Northeast 23rd Street, Oklahoma City, OK 73105.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Tulsa County: Tulsa City-County Health Department, 4616 East Fifteenth Street, Tulsa, OK 74112.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(MM) State of Oregon. (i) Oregon Department of Environmental Quality (ODEQ), 811 SW Sixth Avenue, Portland, OR 97204–1390, </w:t>
      </w:r>
      <w:r w:rsidRPr="0068548C">
        <w:rPr>
          <w:rFonts w:ascii="Book Antiqua" w:eastAsia="Times New Roman" w:hAnsi="Book Antiqua" w:cs="Arial"/>
          <w:i/>
          <w:iCs/>
          <w:sz w:val="16"/>
          <w:szCs w:val="16"/>
        </w:rPr>
        <w:t xml:space="preserve">http://www.deq.state.or.us.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(ii) Lane Regional Air Pollution Authority (LRAPA), 1010 Main Street, Springfield, Oregon 97477, </w:t>
      </w:r>
      <w:r w:rsidRPr="0068548C">
        <w:rPr>
          <w:rFonts w:ascii="Book Antiqua" w:eastAsia="Times New Roman" w:hAnsi="Book Antiqua" w:cs="Arial"/>
          <w:i/>
          <w:iCs/>
          <w:sz w:val="16"/>
          <w:szCs w:val="16"/>
        </w:rPr>
        <w:t xml:space="preserve">http://www.lrapa.org. </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(NN)(i) City of Philadelphia, Department of Public Health, Air Management Services, 321 University Avenue, Philadelphia, Pennsylvania 19104.</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Commonwealth of Pennsylvania, Department of Environmental Protection, Bureau of Air Quality Control, P.O. Box 8468, 400 Market Street, Harrisburg, Pennsylvania 17105.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Allegheny County Health Department, Bureau of Environmental Quality, Division of Air Quality, 301 39th Street, Pittsburgh, Pennsylvania 15201.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(OO) State of Rhode Island, Division of Air and Hazardous Materials, Department of Environmental Management, 291 Promenade Street, Providence, RI 02908.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(PP) State of South Carolina: South Carolina Department of Health and Environmental Control, 2600 Bull Street, Columbia, South Carolina 29201.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(QQ) State of South Dakota, Air Quality Program, Department of Environment and Natural Resources, Joe Foss Building, 523 East Capitol, Pierre, SD 57501–3181.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paragragh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(RR) State of Tennessee: Tennessee Department of Environment and Conservation, Division of Air Pollution Control, 401 Church Street, 9th Floor, L&amp;C Annex, Nashville, Tennessee 37243–1531.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Knox County Air Quality Management—Department of Public Health, 140 Dameron Avenue, Knoxville, TN 37917.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Air Pollution Control Bureau, Metropolitan Health Department, 311 23rd Avenue North, Nashville, TN 37203.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Chattanooga-Hamilton County Air Pollution Control Bureau, 6125 Preservation Drive, Chattanooga, TN 37416.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Memphis-Shelby County Health Department—Air Pollution Control Program, 814 Jefferson Avenue, Memphis, TN 38105.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(SS) State of Texas, Texas Air Control Board, 6330 Highway 290 East, Austin, TX 78723.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(TT) State of Utah, Division of Air Quality, Department of Environmental Quality, P.O. Box 144820, Salt Lake City, UT 84114–4820.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(UU) State of Vermont, Air Pollution Control Division, Agency of Natural Resources, Building 3 South, 103 South Main Street, Waterbury, VT 05676.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(VV) Commonwealth of Virginia, Department of Environmental Quality, 629 East Main Street, Richmond, Virginia 23219.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(WW) </w:t>
      </w:r>
      <w:r w:rsidRPr="0068548C">
        <w:rPr>
          <w:rFonts w:ascii="Book Antiqua" w:eastAsia="Times New Roman" w:hAnsi="Book Antiqua" w:cs="Arial"/>
          <w:i/>
          <w:iCs/>
          <w:sz w:val="16"/>
          <w:szCs w:val="16"/>
        </w:rPr>
        <w:t xml:space="preserve">State of Washington. </w:t>
      </w:r>
      <w:r w:rsidRPr="0068548C">
        <w:rPr>
          <w:rFonts w:ascii="Book Antiqua" w:eastAsia="Times New Roman" w:hAnsi="Book Antiqua" w:cs="Arial"/>
          <w:sz w:val="16"/>
          <w:szCs w:val="16"/>
        </w:rPr>
        <w:t xml:space="preserve">(i) Washington State Department of Ecology (Ecology), P.O. Box 47600, Olympia, WA 98504–7600, </w:t>
      </w:r>
      <w:r w:rsidRPr="0068548C">
        <w:rPr>
          <w:rFonts w:ascii="Book Antiqua" w:eastAsia="Times New Roman" w:hAnsi="Book Antiqua" w:cs="Arial"/>
          <w:i/>
          <w:iCs/>
          <w:sz w:val="16"/>
          <w:szCs w:val="16"/>
        </w:rPr>
        <w:t xml:space="preserve">http://www.ecy.wa.gov/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(ii) Benton Clean Air Authority (BCAA), 650 George Washington Way, Richland, WA 99352–4289, </w:t>
      </w:r>
      <w:r w:rsidRPr="0068548C">
        <w:rPr>
          <w:rFonts w:ascii="Book Antiqua" w:eastAsia="Times New Roman" w:hAnsi="Book Antiqua" w:cs="Arial"/>
          <w:i/>
          <w:iCs/>
          <w:sz w:val="16"/>
          <w:szCs w:val="16"/>
        </w:rPr>
        <w:t xml:space="preserve">http://www.bcaa.net/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(iii) Northwest Air Pollution Control Authority (NWAPA), 1600 South Second St., Mount Vernon, WA 98273–5202, </w:t>
      </w:r>
      <w:r w:rsidRPr="0068548C">
        <w:rPr>
          <w:rFonts w:ascii="Book Antiqua" w:eastAsia="Times New Roman" w:hAnsi="Book Antiqua" w:cs="Arial"/>
          <w:i/>
          <w:iCs/>
          <w:sz w:val="16"/>
          <w:szCs w:val="16"/>
        </w:rPr>
        <w:t xml:space="preserve">http://www.nwair.org/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(iv) Olympic Regional Clean Air Agency (ORCAA), 909 Sleater-Kinney Road S.E., Suite 1, Lacey, WA 98503–1128, </w:t>
      </w:r>
      <w:r w:rsidRPr="0068548C">
        <w:rPr>
          <w:rFonts w:ascii="Book Antiqua" w:eastAsia="Times New Roman" w:hAnsi="Book Antiqua" w:cs="Arial"/>
          <w:i/>
          <w:iCs/>
          <w:sz w:val="16"/>
          <w:szCs w:val="16"/>
        </w:rPr>
        <w:t xml:space="preserve">http://www.orcaa.org/ </w:t>
      </w:r>
    </w:p>
    <w:p w:rsidR="0083768B" w:rsidRDefault="0068548C" w:rsidP="0068548C">
      <w:pPr>
        <w:spacing w:before="100" w:beforeAutospacing="1" w:after="100" w:afterAutospacing="1" w:line="240" w:lineRule="auto"/>
        <w:rPr>
          <w:rFonts w:ascii="Book Antiqua" w:eastAsia="Times New Roman" w:hAnsi="Book Antiqua" w:cs="Arial"/>
          <w:i/>
          <w:iCs/>
          <w:sz w:val="16"/>
          <w:szCs w:val="16"/>
        </w:rPr>
      </w:pPr>
      <w:r w:rsidRPr="0068548C">
        <w:rPr>
          <w:rFonts w:ascii="Book Antiqua" w:eastAsia="Times New Roman" w:hAnsi="Book Antiqua" w:cs="Arial"/>
          <w:sz w:val="16"/>
          <w:szCs w:val="16"/>
        </w:rPr>
        <w:t xml:space="preserve">(v) Puget Sound Clean Air Agency (PSCAA), 110 Union Street, Suite 500, Seattle, WA 98101–2038, </w:t>
      </w:r>
      <w:r w:rsidRPr="0068548C">
        <w:rPr>
          <w:rFonts w:ascii="Book Antiqua" w:eastAsia="Times New Roman" w:hAnsi="Book Antiqua" w:cs="Arial"/>
          <w:i/>
          <w:iCs/>
          <w:sz w:val="16"/>
          <w:szCs w:val="16"/>
        </w:rPr>
        <w:t xml:space="preserve">http://www.pscleanair.org/ </w:t>
      </w:r>
    </w:p>
    <w:p w:rsidR="0083768B" w:rsidRDefault="0083768B">
      <w:pPr>
        <w:rPr>
          <w:rFonts w:ascii="Book Antiqua" w:eastAsia="Times New Roman" w:hAnsi="Book Antiqua" w:cs="Arial"/>
          <w:i/>
          <w:iCs/>
          <w:sz w:val="16"/>
          <w:szCs w:val="16"/>
        </w:rPr>
      </w:pPr>
      <w:r>
        <w:rPr>
          <w:rFonts w:ascii="Book Antiqua" w:eastAsia="Times New Roman" w:hAnsi="Book Antiqua" w:cs="Arial"/>
          <w:i/>
          <w:iCs/>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 Spokane County Air Pollution Control Authority (SCAPCA), West 1101 College, Suite 403, Spokane, WA 99201, </w:t>
      </w:r>
      <w:r w:rsidRPr="0068548C">
        <w:rPr>
          <w:rFonts w:ascii="Book Antiqua" w:eastAsia="Times New Roman" w:hAnsi="Book Antiqua" w:cs="Arial"/>
          <w:i/>
          <w:iCs/>
          <w:sz w:val="16"/>
          <w:szCs w:val="16"/>
        </w:rPr>
        <w:t xml:space="preserve">http://www.scapca.org/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(vii) Southwest Clean Air Agency (SWCAA), 1308 NE. 134th St., Vancouver, WA 98685–2747, </w:t>
      </w:r>
      <w:r w:rsidRPr="0068548C">
        <w:rPr>
          <w:rFonts w:ascii="Book Antiqua" w:eastAsia="Times New Roman" w:hAnsi="Book Antiqua" w:cs="Arial"/>
          <w:i/>
          <w:iCs/>
          <w:sz w:val="16"/>
          <w:szCs w:val="16"/>
        </w:rPr>
        <w:t xml:space="preserve">http://www.swcleanair.org/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(viii) Yakima Regional Clean Air Authority (YRCAA), 6 South 2nd Street, Suite 1016, Yakima, WA 98901, </w:t>
      </w:r>
      <w:r w:rsidRPr="0068548C">
        <w:rPr>
          <w:rFonts w:ascii="Book Antiqua" w:eastAsia="Times New Roman" w:hAnsi="Book Antiqua" w:cs="Arial"/>
          <w:i/>
          <w:iCs/>
          <w:sz w:val="16"/>
          <w:szCs w:val="16"/>
        </w:rPr>
        <w:t xml:space="preserve">http://co.yakima.wa.us/cleanair/default.htm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NSPS Subparts Delegated to Washington Air Agencies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000"/>
        <w:gridCol w:w="658"/>
        <w:gridCol w:w="552"/>
        <w:gridCol w:w="720"/>
        <w:gridCol w:w="694"/>
        <w:gridCol w:w="640"/>
        <w:gridCol w:w="756"/>
        <w:gridCol w:w="703"/>
        <w:gridCol w:w="667"/>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r w:rsidRPr="0068548C">
              <w:rPr>
                <w:rFonts w:ascii="Book Antiqua" w:eastAsia="Times New Roman" w:hAnsi="Book Antiqua" w:cs="Times New Roman"/>
                <w:b/>
                <w:bCs/>
                <w:sz w:val="16"/>
                <w:szCs w:val="16"/>
                <w:vertAlign w:val="superscript"/>
              </w:rPr>
              <w:t>1</w:t>
            </w:r>
          </w:p>
        </w:tc>
        <w:tc>
          <w:tcPr>
            <w:tcW w:w="0" w:type="auto"/>
            <w:gridSpan w:val="8"/>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Washington</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Ecology</w:t>
            </w:r>
            <w:r w:rsidRPr="0068548C">
              <w:rPr>
                <w:rFonts w:ascii="Book Antiqua" w:eastAsia="Times New Roman" w:hAnsi="Book Antiqua" w:cs="Times New Roman"/>
                <w:b/>
                <w:bCs/>
                <w:sz w:val="16"/>
                <w:szCs w:val="16"/>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BCAA</w:t>
            </w:r>
            <w:r w:rsidRPr="0068548C">
              <w:rPr>
                <w:rFonts w:ascii="Book Antiqua" w:eastAsia="Times New Roman" w:hAnsi="Book Antiqua" w:cs="Times New Roman"/>
                <w:b/>
                <w:bCs/>
                <w:sz w:val="16"/>
                <w:szCs w:val="16"/>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NWAPA</w:t>
            </w:r>
            <w:r w:rsidRPr="0068548C">
              <w:rPr>
                <w:rFonts w:ascii="Book Antiqua" w:eastAsia="Times New Roman" w:hAnsi="Book Antiqua" w:cs="Times New Roman"/>
                <w:b/>
                <w:bCs/>
                <w:sz w:val="16"/>
                <w:szCs w:val="16"/>
                <w:vertAlign w:val="superscript"/>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ORCAA</w:t>
            </w:r>
            <w:r w:rsidRPr="0068548C">
              <w:rPr>
                <w:rFonts w:ascii="Book Antiqua" w:eastAsia="Times New Roman" w:hAnsi="Book Antiqua" w:cs="Times New Roman"/>
                <w:b/>
                <w:bCs/>
                <w:sz w:val="16"/>
                <w:szCs w:val="16"/>
                <w:vertAlign w:val="superscript"/>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PSCAA</w:t>
            </w:r>
            <w:r w:rsidRPr="0068548C">
              <w:rPr>
                <w:rFonts w:ascii="Book Antiqua" w:eastAsia="Times New Roman" w:hAnsi="Book Antiqua" w:cs="Times New Roman"/>
                <w:b/>
                <w:bCs/>
                <w:sz w:val="16"/>
                <w:szCs w:val="16"/>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SCAPCA</w:t>
            </w:r>
            <w:r w:rsidRPr="0068548C">
              <w:rPr>
                <w:rFonts w:ascii="Book Antiqua" w:eastAsia="Times New Roman" w:hAnsi="Book Antiqua" w:cs="Times New Roman"/>
                <w:b/>
                <w:bCs/>
                <w:sz w:val="16"/>
                <w:szCs w:val="16"/>
                <w:vertAlign w:val="superscript"/>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SWCAA</w:t>
            </w:r>
            <w:r w:rsidRPr="0068548C">
              <w:rPr>
                <w:rFonts w:ascii="Book Antiqua" w:eastAsia="Times New Roman" w:hAnsi="Book Antiqua" w:cs="Times New Roman"/>
                <w:b/>
                <w:bCs/>
                <w:sz w:val="16"/>
                <w:szCs w:val="16"/>
                <w:vertAlign w:val="superscript"/>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YRCAA</w:t>
            </w:r>
            <w:r w:rsidRPr="0068548C">
              <w:rPr>
                <w:rFonts w:ascii="Book Antiqua" w:eastAsia="Times New Roman" w:hAnsi="Book Antiqua" w:cs="Times New Roman"/>
                <w:b/>
                <w:bCs/>
                <w:sz w:val="16"/>
                <w:szCs w:val="16"/>
                <w:vertAlign w:val="superscript"/>
              </w:rPr>
              <w:t>9</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Adoption and Submittal of State Plans for Designated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Cb  Large Municipal Waste Combustors that are Constructed on or before September 20, 1994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  Municipal Solid Waste Landfills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Cd  Sulfuric Acid Production Units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Ce  Hospital/Medical/Infectious Waste Incinerators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  Fossil-Fuel-Fired Steam Generators for which Construction is Commenced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  Electric Utility Steam Generating Units for which Construction is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  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  Municipal Waste Combustors for which Construction is Commenced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294"/>
        <w:gridCol w:w="137"/>
        <w:gridCol w:w="137"/>
        <w:gridCol w:w="137"/>
        <w:gridCol w:w="137"/>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  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  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  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  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  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  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  VOC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  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  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  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  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  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  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  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  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  Primary Aluminum Reduction Plants</w:t>
            </w:r>
            <w:r w:rsidRPr="0068548C">
              <w:rPr>
                <w:rFonts w:ascii="Book Antiqua" w:eastAsia="Times New Roman" w:hAnsi="Book Antiqua" w:cs="Times New Roman"/>
                <w:sz w:val="16"/>
                <w:szCs w:val="16"/>
                <w:vertAlign w:val="superscript"/>
              </w:rPr>
              <w:t>10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  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  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  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  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  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  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  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  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  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  Kraft Pulp Mills</w:t>
            </w:r>
            <w:r w:rsidRPr="0068548C">
              <w:rPr>
                <w:rFonts w:ascii="Book Antiqua" w:eastAsia="Times New Roman" w:hAnsi="Book Antiqua" w:cs="Times New Roman"/>
                <w:sz w:val="16"/>
                <w:szCs w:val="16"/>
                <w:vertAlign w:val="superscript"/>
              </w:rPr>
              <w:t>11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  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  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  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  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213"/>
        <w:gridCol w:w="148"/>
        <w:gridCol w:w="147"/>
        <w:gridCol w:w="147"/>
        <w:gridCol w:w="147"/>
        <w:gridCol w:w="147"/>
        <w:gridCol w:w="147"/>
        <w:gridCol w:w="147"/>
        <w:gridCol w:w="14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HH  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  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  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  Automobile and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  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  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  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  Pressure Sensitive Tape and Label Surface Coating Standards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  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  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  Asphalt Processing and Asphalt Roof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  Equipment Leaks of VOC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  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  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  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  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  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  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  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  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  VOC Emissions from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  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  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  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  VOC Emissions from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  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  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  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  VOCs from Synthetic Organic Chemical Manufacturing Industry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  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  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  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  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  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496"/>
        <w:gridCol w:w="137"/>
        <w:gridCol w:w="137"/>
        <w:gridCol w:w="36"/>
        <w:gridCol w:w="137"/>
        <w:gridCol w:w="137"/>
        <w:gridCol w:w="137"/>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AAAA  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BBBB  Small Municipal Waste Combustion Units Constructed on or before August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DDDD  Commercial and Industrial Solid Waste Incineration Units that Commenced Construction on or before November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Any authority within any subpart of this part that is not delegable, is not delegated. Please refer to Attachment B to the delegation letters for a listing of the NSPS authorities excluded from delegation.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2</w:t>
      </w:r>
      <w:r w:rsidRPr="0068548C">
        <w:rPr>
          <w:rFonts w:ascii="Book Antiqua" w:eastAsia="Times New Roman" w:hAnsi="Book Antiqua" w:cs="Arial"/>
          <w:sz w:val="16"/>
          <w:szCs w:val="16"/>
        </w:rPr>
        <w:t>Washington State Department of Ecology,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Benton Clean Air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4</w:t>
      </w:r>
      <w:r w:rsidRPr="0068548C">
        <w:rPr>
          <w:rFonts w:ascii="Book Antiqua" w:eastAsia="Times New Roman" w:hAnsi="Book Antiqua" w:cs="Arial"/>
          <w:sz w:val="16"/>
          <w:szCs w:val="16"/>
        </w:rPr>
        <w:t>Northwest Air Pollution Authority, for all NSPS delegated, as in effect on July 1, 2000.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5</w:t>
      </w:r>
      <w:r w:rsidRPr="0068548C">
        <w:rPr>
          <w:rFonts w:ascii="Book Antiqua" w:eastAsia="Times New Roman" w:hAnsi="Book Antiqua" w:cs="Arial"/>
          <w:sz w:val="16"/>
          <w:szCs w:val="16"/>
        </w:rPr>
        <w:t>Olympic Regional Clean Air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6</w:t>
      </w:r>
      <w:r w:rsidRPr="0068548C">
        <w:rPr>
          <w:rFonts w:ascii="Book Antiqua" w:eastAsia="Times New Roman" w:hAnsi="Book Antiqua" w:cs="Arial"/>
          <w:sz w:val="16"/>
          <w:szCs w:val="16"/>
        </w:rPr>
        <w:t>Puget Sound Clean Air Authority, for all NSPS delegated, as in effect on July 1, 2002.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7</w:t>
      </w:r>
      <w:r w:rsidRPr="0068548C">
        <w:rPr>
          <w:rFonts w:ascii="Book Antiqua" w:eastAsia="Times New Roman" w:hAnsi="Book Antiqua" w:cs="Arial"/>
          <w:sz w:val="16"/>
          <w:szCs w:val="16"/>
        </w:rPr>
        <w:t>Spokane County Air Pollution Control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8</w:t>
      </w:r>
      <w:r w:rsidRPr="0068548C">
        <w:rPr>
          <w:rFonts w:ascii="Book Antiqua" w:eastAsia="Times New Roman" w:hAnsi="Book Antiqua" w:cs="Arial"/>
          <w:sz w:val="16"/>
          <w:szCs w:val="16"/>
        </w:rPr>
        <w:t>Southwest Clean Air Agency, for all NSPS delegated, as in effect on July 1, 2000.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9</w:t>
      </w:r>
      <w:r w:rsidRPr="0068548C">
        <w:rPr>
          <w:rFonts w:ascii="Book Antiqua" w:eastAsia="Times New Roman" w:hAnsi="Book Antiqua" w:cs="Arial"/>
          <w:sz w:val="16"/>
          <w:szCs w:val="16"/>
        </w:rPr>
        <w:t>Yakima Regional Clean Air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10</w:t>
      </w:r>
      <w:r w:rsidRPr="0068548C">
        <w:rPr>
          <w:rFonts w:ascii="Book Antiqua" w:eastAsia="Times New Roman" w:hAnsi="Book Antiqua" w:cs="Arial"/>
          <w:sz w:val="16"/>
          <w:szCs w:val="16"/>
        </w:rPr>
        <w:t>Subpart S of this part is not delegated to local agencies in Washington because the Washington State Department of Ecology retains sole authority to regulate Primary Aluminum Plants, pursuant to Washington Administrative Code 173–415–010.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11</w:t>
      </w:r>
      <w:r w:rsidRPr="0068548C">
        <w:rPr>
          <w:rFonts w:ascii="Book Antiqua" w:eastAsia="Times New Roman" w:hAnsi="Book Antiqua" w:cs="Arial"/>
          <w:sz w:val="16"/>
          <w:szCs w:val="16"/>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(XX) State of West Virginia, Department of Environmental Protection, Division of Air Quality, 601 57th Street, SE., Charleston, West Virginia 25304.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(YY) State of Wisconsin: Wisconsin Department of Natural Resouces, 101 South Webster St., P.O. Box 7921, Madison, Wisconsin 53707–7921.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(ZZ) State of Wyoming, Department of Environmental Quality, Air Quality Division, Herschler Building, 122 West 25th Street, Cheyenne, WY 82002.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(AAA) Territory of Guam: Guam Environmental Protection Agency, P.O. Box 22439 GMF, Barrigada, Guam 96921.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(BBB) Commonwealth of Puerto Rico: Commonwealth of Puerto Rico Environmental Quality Board, P.O. Box 11488, Santurce, PR 00910, Attention: Air Quality Area Director (see table under §60.4(b)(FF)(1)).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(CCC) U.S. Virgin Islands: U.S. Virgin Islands Department of Conservation and Cultural Affairs, P.O. Box 578, Charlotte Amalie, St. Thomas, VI 00801.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(DDD) American Samoa: American Samoa Environmental Protection Agency, P.O. Box PPA, Pago Pago, American Samoa 96799.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(EEE) Commonwealth of the Northern Mariana Islands: CNMI Division of Environmental Quality, P.O. Box 501304, Saipan, MP 96950.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following is a table indicating the delegation status of New Source Performance Standards for Region VIII.</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of New Source Performance Standards</w:t>
      </w:r>
    </w:p>
    <w:p w:rsidR="0068548C" w:rsidRPr="0068548C" w:rsidRDefault="0068548C" w:rsidP="0068548C">
      <w:pPr>
        <w:spacing w:before="100" w:beforeAutospacing="1" w:after="100" w:afterAutospacing="1" w:line="240" w:lineRule="auto"/>
        <w:jc w:val="center"/>
        <w:rPr>
          <w:rFonts w:ascii="Book Antiqua" w:eastAsia="Times New Roman" w:hAnsi="Book Antiqua" w:cs="Arial"/>
          <w:sz w:val="16"/>
          <w:szCs w:val="16"/>
        </w:rPr>
      </w:pPr>
      <w:r w:rsidRPr="0068548C">
        <w:rPr>
          <w:rFonts w:ascii="Book Antiqua" w:eastAsia="Times New Roman" w:hAnsi="Book Antiqua" w:cs="Arial"/>
          <w:sz w:val="16"/>
          <w:szCs w:val="16"/>
        </w:rPr>
        <w:t>[(NSPS) for Region VIII]</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756"/>
        <w:gridCol w:w="434"/>
        <w:gridCol w:w="462"/>
        <w:gridCol w:w="462"/>
        <w:gridCol w:w="407"/>
        <w:gridCol w:w="407"/>
        <w:gridCol w:w="462"/>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UT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WY</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D—Fossil Fuel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Da—Electric Utility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K—Petroleum Storage Vessels (after 6/11/73 &amp; prior to</w:t>
            </w:r>
            <w:r w:rsidRPr="0068548C">
              <w:rPr>
                <w:rFonts w:ascii="Book Antiqua" w:eastAsia="Times New Roman" w:hAnsi="Book Antiqua" w:cs="Times New Roman"/>
                <w:sz w:val="16"/>
                <w:szCs w:val="16"/>
              </w:rPr>
              <w:br/>
              <w:t>  5/19/78)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040"/>
        <w:gridCol w:w="225"/>
        <w:gridCol w:w="225"/>
        <w:gridCol w:w="225"/>
        <w:gridCol w:w="225"/>
        <w:gridCol w:w="225"/>
        <w:gridCol w:w="225"/>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Ka—Petroleum Storage Vessels (after 5/18/78 &amp; prior to</w:t>
            </w:r>
            <w:r w:rsidRPr="0068548C">
              <w:rPr>
                <w:rFonts w:ascii="Book Antiqua" w:eastAsia="Times New Roman" w:hAnsi="Book Antiqua" w:cs="Times New Roman"/>
                <w:sz w:val="16"/>
                <w:szCs w:val="16"/>
              </w:rPr>
              <w:br/>
              <w:t>  7/23/84)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Kb—Petroleum Storage 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M—Secondary Brass and Bronze Production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N—Primary Emissions from Basic Oxygen Process Furnaces (after 6/11/73)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Na—Secondary Emissions from Basic Oxygen Process Furnaces (after 1/20/83)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AA—Steel Plants: Electric Arc Furnaces (10/21/74–8/17/83)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AAa—Steel Plants: Electric Arc Furnaces and Argon-Oxygen Decarburization Vessels (after 8/7/83)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DD—Grain Elevator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PP—Ammonium Sulfate Manufacturing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RR—Pressure Sensitive Tape &amp; Label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196"/>
        <w:gridCol w:w="199"/>
        <w:gridCol w:w="199"/>
        <w:gridCol w:w="199"/>
        <w:gridCol w:w="199"/>
        <w:gridCol w:w="199"/>
        <w:gridCol w:w="19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SS—Industrial Surface Coating: Large Applications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UU—Asphalt Processing &amp;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VV—Synthetic Organic Chemicals Manufacturing: Equipment Leaks of VOC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BBB—Rubber Tires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FFF—Flexible Vinyl &amp; Urethane Coating &amp;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III—VOC Emissions from the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NNN—VOC Emissions from the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RRR—VOC Emissions from Synthetic Organic Chemistry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SSS—Magnetic Tape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TTT—Plastic Parts for Business Machine Coatings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VVV—Polymeric Coating of Supporting Substrates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AAAA-Small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CCCC-Commercial and Industrial Solid Waste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Indicates approval of State regulation.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 xml:space="preserve">(1) </w:t>
      </w:r>
      <w:r w:rsidRPr="0068548C">
        <w:rPr>
          <w:rFonts w:ascii="Book Antiqua" w:eastAsia="Times New Roman" w:hAnsi="Book Antiqua" w:cs="Arial"/>
          <w:i/>
          <w:iCs/>
          <w:sz w:val="16"/>
          <w:szCs w:val="16"/>
        </w:rPr>
        <w:t xml:space="preserve">Arizona. </w:t>
      </w:r>
      <w:r w:rsidRPr="0068548C">
        <w:rPr>
          <w:rFonts w:ascii="Book Antiqua" w:eastAsia="Times New Roman" w:hAnsi="Book Antiqua" w:cs="Arial"/>
          <w:sz w:val="16"/>
          <w:szCs w:val="16"/>
        </w:rPr>
        <w:t>The following table identifies delegations for Arizona:</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Arizona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6262"/>
        <w:gridCol w:w="780"/>
        <w:gridCol w:w="959"/>
        <w:gridCol w:w="573"/>
        <w:gridCol w:w="573"/>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Arizona DEQ</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Maricopa 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Pima</w:t>
            </w:r>
            <w:r w:rsidRPr="0068548C">
              <w:rPr>
                <w:rFonts w:ascii="Book Antiqua" w:eastAsia="Times New Roman" w:hAnsi="Book Antiqua" w:cs="Times New Roman"/>
                <w:b/>
                <w:bCs/>
                <w:sz w:val="16"/>
                <w:szCs w:val="16"/>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Pinal</w:t>
            </w:r>
            <w:r w:rsidRPr="0068548C">
              <w:rPr>
                <w:rFonts w:ascii="Book Antiqua" w:eastAsia="Times New Roman" w:hAnsi="Book Antiqua" w:cs="Times New Roman"/>
                <w:b/>
                <w:bCs/>
                <w:sz w:val="16"/>
                <w:szCs w:val="16"/>
              </w:rPr>
              <w:br/>
              <w:t>County</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314"/>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sidP="0068548C">
      <w:pPr>
        <w:spacing w:before="100" w:beforeAutospacing="1" w:after="100" w:afterAutospacing="1" w:line="240" w:lineRule="auto"/>
        <w:rPr>
          <w:rFonts w:ascii="Book Antiqua" w:eastAsia="Times New Roman" w:hAnsi="Book Antiqua" w:cs="Arial"/>
          <w:sz w:val="16"/>
          <w:szCs w:val="16"/>
        </w:rPr>
      </w:pP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lastRenderedPageBreak/>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 xml:space="preserve">(2) </w:t>
      </w:r>
      <w:r w:rsidRPr="0068548C">
        <w:rPr>
          <w:rFonts w:ascii="Book Antiqua" w:eastAsia="Times New Roman" w:hAnsi="Book Antiqua" w:cs="Arial"/>
          <w:i/>
          <w:iCs/>
          <w:sz w:val="16"/>
          <w:szCs w:val="16"/>
        </w:rPr>
        <w:t xml:space="preserve">California. </w:t>
      </w:r>
      <w:r w:rsidRPr="0068548C">
        <w:rPr>
          <w:rFonts w:ascii="Book Antiqua" w:eastAsia="Times New Roman" w:hAnsi="Book Antiqua" w:cs="Arial"/>
          <w:sz w:val="16"/>
          <w:szCs w:val="16"/>
        </w:rPr>
        <w:t>The following tables identify delegations for each of the local air pollution control agencies of California.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Delegations for Amador County Air Pollution Control District, Antelope Valley Air Pollution Control District, Bay Area Air Quality Management District, and Butte County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Amador County APCD, Antelope Valley APCD, Bay Area AQMD, and Butte County AQMD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5440"/>
        <w:gridCol w:w="980"/>
        <w:gridCol w:w="1040"/>
        <w:gridCol w:w="809"/>
        <w:gridCol w:w="878"/>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Amador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Antelope Valley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Bay Area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Butte 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786"/>
        <w:gridCol w:w="36"/>
        <w:gridCol w:w="36"/>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635"/>
        <w:gridCol w:w="36"/>
        <w:gridCol w:w="36"/>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Delegations for Glenn County Air Pollution Control District, Great Basin Unified Air Pollution Control District, Imperial County Air Pollution Control District, and Kern County Air Pollution Control District are shown in the following table:</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lastRenderedPageBreak/>
        <w:t>Delegation Status for New Source Performance Standards for Glenn County APCD, Great Basin Unified APCD, Imperial County APCD, and Kern County APCD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5460"/>
        <w:gridCol w:w="740"/>
        <w:gridCol w:w="1058"/>
        <w:gridCol w:w="1018"/>
        <w:gridCol w:w="871"/>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Glenn</w:t>
            </w:r>
            <w:r w:rsidRPr="0068548C">
              <w:rPr>
                <w:rFonts w:ascii="Book Antiqua" w:eastAsia="Times New Roman" w:hAnsi="Book Antiqua" w:cs="Times New Roman"/>
                <w:b/>
                <w:bCs/>
                <w:sz w:val="16"/>
                <w:szCs w:val="16"/>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Great Basin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Imperial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Kern 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3"/>
        <w:gridCol w:w="8585"/>
        <w:gridCol w:w="39"/>
        <w:gridCol w:w="147"/>
        <w:gridCol w:w="39"/>
        <w:gridCol w:w="14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433"/>
        <w:gridCol w:w="36"/>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Delegations for Lake County Air Quality Management District, Lassen County Air Pollution Control District, Mariposa County Air Pollution Control District, and Mendocino County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5"/>
        <w:gridCol w:w="3603"/>
        <w:gridCol w:w="1227"/>
        <w:gridCol w:w="1265"/>
        <w:gridCol w:w="1499"/>
        <w:gridCol w:w="1641"/>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Lake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Lassen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Mariposa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Mendocino County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8801"/>
        <w:gridCol w:w="137"/>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0"/>
        <w:gridCol w:w="8614"/>
        <w:gridCol w:w="137"/>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534"/>
        <w:gridCol w:w="137"/>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Delegations for Modoc County Air Pollution Control District, Mojave Desert Air Quality Management District, Monterey Bay Unified Air Pollution Control District, and North Coast Unified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Modoc County Air Pollution Control District, Mojave Desert Air Quality Management District, Monterey Bay Unified Air Pollution Control District, and North Coast Unified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4466"/>
        <w:gridCol w:w="1024"/>
        <w:gridCol w:w="1056"/>
        <w:gridCol w:w="1354"/>
        <w:gridCol w:w="1246"/>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Modoc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Mojave Desert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Monterey Bay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North Coast Unified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459"/>
        <w:gridCol w:w="137"/>
        <w:gridCol w:w="36"/>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28"/>
        <w:gridCol w:w="7666"/>
        <w:gridCol w:w="72"/>
        <w:gridCol w:w="72"/>
        <w:gridCol w:w="276"/>
        <w:gridCol w:w="27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Delegations for Northern Sierra Air Quality Management District, Northern Sonoma County Air Pollution Control District, Placer County Air Pollution Control District, and Sacramento Metropolitan Air Quality Management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4646"/>
        <w:gridCol w:w="1013"/>
        <w:gridCol w:w="1203"/>
        <w:gridCol w:w="859"/>
        <w:gridCol w:w="1426"/>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Northern Sierra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Northern Sonoma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Placer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Sacramento Metropolitan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685"/>
        <w:gridCol w:w="36"/>
        <w:gridCol w:w="137"/>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635"/>
        <w:gridCol w:w="36"/>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lastRenderedPageBreak/>
        <w:t>Delegation Status for New Source Performance Standards for San Diego County Air Pollution Control District, San Joaquin Valley Unified Air Pollution Control District, San Luis Obispo County Air Pollution Control District, and Santa Barbara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5390"/>
        <w:gridCol w:w="991"/>
        <w:gridCol w:w="875"/>
        <w:gridCol w:w="1137"/>
        <w:gridCol w:w="754"/>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 Diego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 Joaquin Valley</w:t>
            </w:r>
            <w:r w:rsidRPr="0068548C">
              <w:rPr>
                <w:rFonts w:ascii="Book Antiqua" w:eastAsia="Times New Roman" w:hAnsi="Book Antiqua" w:cs="Times New Roman"/>
                <w:b/>
                <w:bCs/>
                <w:sz w:val="16"/>
                <w:szCs w:val="16"/>
              </w:rPr>
              <w:br/>
              <w:t>Unified</w:t>
            </w:r>
            <w:r w:rsidRPr="0068548C">
              <w:rPr>
                <w:rFonts w:ascii="Book Antiqua" w:eastAsia="Times New Roman" w:hAnsi="Book Antiqua" w:cs="Times New Roman"/>
                <w:b/>
                <w:bCs/>
                <w:sz w:val="16"/>
                <w:szCs w:val="16"/>
              </w:rPr>
              <w:br/>
              <w:t>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 Luis Obispo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Santa</w:t>
            </w:r>
            <w:r w:rsidRPr="0068548C">
              <w:rPr>
                <w:rFonts w:ascii="Book Antiqua" w:eastAsia="Times New Roman" w:hAnsi="Book Antiqua" w:cs="Times New Roman"/>
                <w:b/>
                <w:bCs/>
                <w:sz w:val="16"/>
                <w:szCs w:val="16"/>
              </w:rPr>
              <w:br/>
              <w:t>Barbara</w:t>
            </w:r>
            <w:r w:rsidRPr="0068548C">
              <w:rPr>
                <w:rFonts w:ascii="Book Antiqua" w:eastAsia="Times New Roman" w:hAnsi="Book Antiqua" w:cs="Times New Roman"/>
                <w:b/>
                <w:bCs/>
                <w:sz w:val="16"/>
                <w:szCs w:val="16"/>
              </w:rPr>
              <w:br/>
              <w:t>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358"/>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314"/>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(viii) Delegations for Shasta County Air Quality Management District, Siskiyou County Air Pollution Control District, South Coast Air Quality Management District, and Tehama County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Shasta County Air Quality Management District, Siskiyou County Air Pollution Control District, South Coast Air Quality Management District, and Tehama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4706"/>
        <w:gridCol w:w="1100"/>
        <w:gridCol w:w="1193"/>
        <w:gridCol w:w="1016"/>
        <w:gridCol w:w="1131"/>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Shasta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Siskiyou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South Coast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Tehama 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358"/>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314"/>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(ix) Delegations for Tuolumne County Air Pollution Control District, Ventura County Air Pollution Control District, and Yolo-Solano Air Quality Management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Tuolumne County Air Pollution Control District, Ventura County Air Pollution Control District, and Yolo-Solano Air Quality Management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5326"/>
        <w:gridCol w:w="1431"/>
        <w:gridCol w:w="1262"/>
        <w:gridCol w:w="1127"/>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Tuolumne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Ventura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Yolo-Solano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721"/>
        <w:gridCol w:w="137"/>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596"/>
        <w:gridCol w:w="137"/>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552"/>
        <w:gridCol w:w="137"/>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(3) </w:t>
      </w:r>
      <w:r w:rsidRPr="0068548C">
        <w:rPr>
          <w:rFonts w:ascii="Book Antiqua" w:eastAsia="Times New Roman" w:hAnsi="Book Antiqua" w:cs="Arial"/>
          <w:i/>
          <w:iCs/>
          <w:sz w:val="16"/>
          <w:szCs w:val="16"/>
        </w:rPr>
        <w:t xml:space="preserve">Hawaii. </w:t>
      </w:r>
      <w:r w:rsidRPr="0068548C">
        <w:rPr>
          <w:rFonts w:ascii="Book Antiqua" w:eastAsia="Times New Roman" w:hAnsi="Book Antiqua" w:cs="Arial"/>
          <w:sz w:val="16"/>
          <w:szCs w:val="16"/>
        </w:rPr>
        <w:t>The following table identifies delegations for Hawaii: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Delegation Status for New Source Performance Standards for Hawaii:</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Hawaii</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70"/>
        <w:gridCol w:w="8493"/>
        <w:gridCol w:w="62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Hawaii</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894"/>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769"/>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725"/>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(4) </w:t>
      </w:r>
      <w:r w:rsidRPr="0068548C">
        <w:rPr>
          <w:rFonts w:ascii="Book Antiqua" w:eastAsia="Times New Roman" w:hAnsi="Book Antiqua" w:cs="Arial"/>
          <w:i/>
          <w:iCs/>
          <w:sz w:val="16"/>
          <w:szCs w:val="16"/>
        </w:rPr>
        <w:t xml:space="preserve">Nevada. </w:t>
      </w:r>
      <w:r w:rsidRPr="0068548C">
        <w:rPr>
          <w:rFonts w:ascii="Book Antiqua" w:eastAsia="Times New Roman" w:hAnsi="Book Antiqua" w:cs="Arial"/>
          <w:sz w:val="16"/>
          <w:szCs w:val="16"/>
        </w:rPr>
        <w:t>The following table identifies delegations for Nevada:</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Nevada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6875"/>
        <w:gridCol w:w="590"/>
        <w:gridCol w:w="573"/>
        <w:gridCol w:w="1109"/>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Nevada</w:t>
            </w:r>
            <w:r w:rsidRPr="0068548C">
              <w:rPr>
                <w:rFonts w:ascii="Book Antiqua" w:eastAsia="Times New Roman" w:hAnsi="Book Antiqua" w:cs="Times New Roman"/>
                <w:b/>
                <w:bCs/>
                <w:sz w:val="16"/>
                <w:szCs w:val="16"/>
              </w:rPr>
              <w:br/>
              <w:t>DEP</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Clark</w:t>
            </w:r>
            <w:r w:rsidRPr="0068548C">
              <w:rPr>
                <w:rFonts w:ascii="Book Antiqua" w:eastAsia="Times New Roman" w:hAnsi="Book Antiqua" w:cs="Times New Roman"/>
                <w:b/>
                <w:bCs/>
                <w:sz w:val="16"/>
                <w:szCs w:val="16"/>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Washoe County</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620"/>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495"/>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653"/>
        <w:gridCol w:w="137"/>
        <w:gridCol w:w="36"/>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(5) </w:t>
      </w:r>
      <w:r w:rsidRPr="0068548C">
        <w:rPr>
          <w:rFonts w:ascii="Book Antiqua" w:eastAsia="Times New Roman" w:hAnsi="Book Antiqua" w:cs="Arial"/>
          <w:i/>
          <w:iCs/>
          <w:sz w:val="16"/>
          <w:szCs w:val="16"/>
        </w:rPr>
        <w:t xml:space="preserve">Guam. </w:t>
      </w:r>
      <w:r w:rsidRPr="0068548C">
        <w:rPr>
          <w:rFonts w:ascii="Book Antiqua" w:eastAsia="Times New Roman" w:hAnsi="Book Antiqua" w:cs="Arial"/>
          <w:sz w:val="16"/>
          <w:szCs w:val="16"/>
        </w:rPr>
        <w:t>The following table identifies delegations as of June 15, 2001:</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Guam</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8663"/>
        <w:gridCol w:w="484"/>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Guam</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following lists the specific part 60 standards that have been delegated unchanged to the air pollution control agencies in Region 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 xml:space="preserve">(1) </w:t>
      </w:r>
      <w:r w:rsidRPr="0068548C">
        <w:rPr>
          <w:rFonts w:ascii="Book Antiqua" w:eastAsia="Times New Roman" w:hAnsi="Book Antiqua" w:cs="Arial"/>
          <w:i/>
          <w:iCs/>
          <w:sz w:val="16"/>
          <w:szCs w:val="16"/>
        </w:rPr>
        <w:t xml:space="preserve">New Mexico. </w:t>
      </w:r>
      <w:r w:rsidRPr="0068548C">
        <w:rPr>
          <w:rFonts w:ascii="Book Antiqua" w:eastAsia="Times New Roman" w:hAnsi="Book Antiqua" w:cs="Arial"/>
          <w:sz w:val="16"/>
          <w:szCs w:val="16"/>
        </w:rPr>
        <w:t>The New Mexico Environment Department has been delegated all part 60 standards promulgated by EPA, except subpart AAA—Standards of Performance for New Residential Wood Heaters, as amended in theFederal Registerthrough September 1, 2002.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Louisiana. The Louisiana Department of Environmental Quality has been delegated all part 60 standards promulgated by EPA, except subpart AAA—Standards for Performance for New Residential Wood Heaters, as amended in theFederal Registerthrough July 1, 2008.</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Part 60 Standards—State of Louisiana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17"/>
        <w:gridCol w:w="8230"/>
        <w:gridCol w:w="543"/>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Source category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LDEQ</w:t>
            </w:r>
            <w:r w:rsidRPr="0068548C">
              <w:rPr>
                <w:rFonts w:ascii="Book Antiqua" w:eastAsia="Times New Roman" w:hAnsi="Book Antiqua" w:cs="Times New Roman"/>
                <w:b/>
                <w:bCs/>
                <w:sz w:val="16"/>
                <w:szCs w:val="16"/>
                <w:vertAlign w:val="superscript"/>
              </w:rPr>
              <w:t>1</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 Fueled Steam Generators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 (100 to 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Small Steam Generating Units (10 to 100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 (&gt;50 tons per day).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(After May 14, 2007). Including amendments issued July 28, 2008. (73 FR 43626)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Stg/Vessels)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(Construction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6"/>
        <w:gridCol w:w="8445"/>
        <w:gridCol w:w="41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After 10/21/74 &amp; On or Before 8/17/83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&amp; Argon-Oxygen Decarburization Vessels After 8/07/83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Furnature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in the SOCMI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in the SOCMI Industry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540"/>
        <w:gridCol w:w="322"/>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the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(Construction is Commenced After 8/30/99 or Modification/Reconstruction is Commenced After 6/06/2001)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&amp; Industrial Solid Waste Incineration Units (Construction is Commenced After 11/30/1999 or Modification/Reconstruction is Commenced on or After 6/01/2001)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(Constructed after 12/09/2004 or Modicatation/Reconstruction is commenced on or after 06/16/2004)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 Including amendments issued October 8, 2008. (73 FR 59175)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 (Construction Commenced After 02/18/2005)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The Louisiana Department of Environmental Quality (LDEQ) has been delegated all Part 60 standards promulgated by EPA, except subpart AAA—Standards of Performance for New Residential Wood Heaters—as amended in the</w:t>
      </w:r>
      <w:r w:rsidRPr="0068548C">
        <w:rPr>
          <w:rFonts w:ascii="Book Antiqua" w:eastAsia="Times New Roman" w:hAnsi="Book Antiqua" w:cs="Times New Roman"/>
          <w:b/>
          <w:bCs/>
          <w:sz w:val="16"/>
          <w:szCs w:val="16"/>
        </w:rPr>
        <w:t>Federal Register</w:t>
      </w:r>
      <w:r w:rsidRPr="0068548C">
        <w:rPr>
          <w:rFonts w:ascii="Book Antiqua" w:eastAsia="Times New Roman" w:hAnsi="Book Antiqua" w:cs="Arial"/>
          <w:sz w:val="16"/>
          <w:szCs w:val="16"/>
        </w:rPr>
        <w:t>through July 1, 2008.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(3) </w:t>
      </w:r>
      <w:r w:rsidRPr="0068548C">
        <w:rPr>
          <w:rFonts w:ascii="Book Antiqua" w:eastAsia="Times New Roman" w:hAnsi="Book Antiqua" w:cs="Arial"/>
          <w:i/>
          <w:iCs/>
          <w:sz w:val="16"/>
          <w:szCs w:val="16"/>
        </w:rPr>
        <w:t xml:space="preserve">Albuquerque-Bernalillo County Air Quality Control Board. </w:t>
      </w:r>
      <w:r w:rsidRPr="0068548C">
        <w:rPr>
          <w:rFonts w:ascii="Book Antiqua" w:eastAsia="Times New Roman" w:hAnsi="Book Antiqua" w:cs="Arial"/>
          <w:sz w:val="16"/>
          <w:szCs w:val="16"/>
        </w:rPr>
        <w:t>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theFederal Registerthrough July 1, 2004.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18169, Apr. 25, 1975]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Editorial Note:</w:t>
      </w:r>
      <w:r w:rsidRPr="0068548C">
        <w:rPr>
          <w:rFonts w:ascii="Book Antiqua" w:eastAsia="Times New Roman" w:hAnsi="Book Antiqua" w:cs="Arial"/>
          <w:sz w:val="16"/>
          <w:szCs w:val="16"/>
        </w:rPr>
        <w:t xml:space="preserve">   ForFederal Registercitations affecting §60.4 see the List of CFR Sections Affected which appears in the Finding Aids section of the printed volume and at www.fdsys.gov.</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lastRenderedPageBreak/>
        <w:t>§ 60.5   Determination of construction or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The Administrator will respond to any request for a determination under paragraph (a) of this section within 30 days of receipt of such request.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58418, Dec. 16, 1975]</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60.6   Review of plans.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When requested to do so by an owner or operator, the Administrator will review plans for construction or modification for the purpose of providing technical advice to the owner or operator.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(b)(1) A separate request shall be submitted for each construction or modification project.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FR 24877, Dec. 23, 1971, as amended at 39 FR 9314, Mar. 8, 1974]</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60.7   Notification and record keeping.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Any owner or operator subject to the provisions of this part shall furnish the Administrator written notification or, if acceptable to both the Administrator and the owner or operator of a source, electronic notification,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 notification of the actual date of initial startup of an affected facility postmarked within 15 days after such date.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 notification of the date upon which demonstration of the continuous monitoring system performance commences in accordance with §60.13(c). Notification shall be postmarked not less than 30 days prior to such date.</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magnitude of excess emissions computed in accordance with §60.13(h), any conversion factor(s) used, and the date and time of commencement and completion of each time period of excess emissions. The process operating time during the reporting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Specific identification of each period of excess emissions that occurs during startups, shutdowns, and malfunctions of the affected facility. The nature and cause of any malfunction (if known), the corrective action taken or preventative measures adopted.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date and time identifying each period during which the continuous monitoring system was inoperative except for zero and span checks and the nature of the system repairs or adjustments.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When no excess emissions have occurred or the continuous monitoring system(s) have not been inoperative, repaired, or adjusted, such information shall be stated in the report.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The summary report form shall contain the information and be in the format shown in figure 1 unless otherwise specified by the Administrator. One summary report form shall be submitted for each pollutant monitored at each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Figure 1—Summary Report—Gaseous and Opacity Excess Emission and Monitoring System Performance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Pollutant (Circle One—SO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/NO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/TRS/H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S/CO/Opacity)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Reporting period dates: From _____ to _____</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Company:</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Emission Limitation____________________</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lastRenderedPageBreak/>
        <w:t>Address:</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Monitor Manufacturer and Model No.____________________</w:t>
      </w:r>
      <w:r w:rsidRPr="0068548C">
        <w:rPr>
          <w:rFonts w:ascii="Book Antiqua" w:eastAsia="Times New Roman" w:hAnsi="Book Antiqua" w:cs="Arial"/>
          <w:sz w:val="16"/>
          <w:szCs w:val="16"/>
        </w:rPr>
        <w:br/>
        <w:t>Date of Latest CMS Certification or Audit____________________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Process Unit(s) Description:</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Total source operating time in reporting period</w:t>
      </w: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69"/>
        <w:gridCol w:w="215"/>
        <w:gridCol w:w="4091"/>
        <w:gridCol w:w="215"/>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Emission data summary</w:t>
            </w:r>
            <w:r w:rsidRPr="0068548C">
              <w:rPr>
                <w:rFonts w:ascii="Book Antiqua" w:eastAsia="Times New Roman" w:hAnsi="Book Antiqua" w:cs="Times New Roman"/>
                <w:b/>
                <w:bCs/>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CMS performance summary</w:t>
            </w:r>
            <w:r w:rsidRPr="0068548C">
              <w:rPr>
                <w:rFonts w:ascii="Book Antiqua" w:eastAsia="Times New Roman" w:hAnsi="Book Antiqua" w:cs="Times New Roman"/>
                <w:b/>
                <w:bCs/>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r w:rsidRPr="0068548C">
              <w:rPr>
                <w:rFonts w:ascii="Book Antiqua" w:eastAsia="Times New Roman" w:hAnsi="Book Antiqua" w:cs="Times New Roman"/>
                <w:sz w:val="16"/>
                <w:szCs w:val="16"/>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r w:rsidRPr="0068548C">
              <w:rPr>
                <w:rFonts w:ascii="Book Antiqua" w:eastAsia="Times New Roman" w:hAnsi="Book Antiqua" w:cs="Times New Roman"/>
                <w:sz w:val="16"/>
                <w:szCs w:val="16"/>
                <w:vertAlign w:val="superscript"/>
              </w:rPr>
              <w:t>2</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For opacity, record all times in minutes. For gases, record all times in hours.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2</w:t>
      </w:r>
      <w:r w:rsidRPr="0068548C">
        <w:rPr>
          <w:rFonts w:ascii="Book Antiqua" w:eastAsia="Times New Roman" w:hAnsi="Book Antiqua" w:cs="Arial"/>
          <w:sz w:val="16"/>
          <w:szCs w:val="16"/>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On a separate page, describe any changes since last quarter in CMS, process or controls. I certify that the information contained in this report is true, accurate, and complete.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Name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Signature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Title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Date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The owner or operator continues to comply with all recordkeeping and monitoring requirements specified in this subpart and the applicable standard;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The Administrator does not object to a reduced frequency of reporting for the affected facility, as provided in paragraph (e)(2)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(g) If notification substantially similar to that in paragraph (a) of this section is required by any other State or local agency, sending the Administrator a copy of that notification will satisfy the requirements of paragraph (a)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Individual subparts of this part may include specific provisions which clarify or make inapplicable the provisions set forth in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60.8   Performance tests.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Until an extension of the performance test deadline has been approved by the Administrator under paragraphs (a)(1), (2), and (3) of this section, the owner or operator of the affected facility remains strictly subject to the requirements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owner or operator of an affected facility shall provide, or cause to be provided, performance testing facilities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Safe sampling platform(s).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Safe access to sampling platform(s).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Utilities for sampling and testing equipment.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8548C">
        <w:rPr>
          <w:rFonts w:ascii="Book Antiqua" w:eastAsia="Times New Roman" w:hAnsi="Book Antiqua" w:cs="Arial"/>
          <w:i/>
          <w:iCs/>
          <w:sz w:val="16"/>
          <w:szCs w:val="16"/>
        </w:rPr>
        <w:t xml:space="preserve">http://www.epa.gov/ttn/emc, </w:t>
      </w:r>
      <w:r w:rsidRPr="0068548C">
        <w:rPr>
          <w:rFonts w:ascii="Book Antiqua" w:eastAsia="Times New Roman" w:hAnsi="Book Antiqua" w:cs="Arial"/>
          <w:sz w:val="16"/>
          <w:szCs w:val="16"/>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Preparing the sample;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Confirming the true concentration of the sample;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Providing the opportunity for the compliance authority to comment on the selected concentration level for an audit sample;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Distributing the sample to the user in a manner that guarantees that the true value of the sample is unknown to the user;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Recording the measured concentration reported by the user and determining if the measured value is within acceptable limits;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(viii) Evaluating the acceptance limits of samples at least once every two years to determine in cooperation with the voluntary consensus standard body if they should be changed;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Checking audit samples to confirm their true value as reported by the AASP;</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Performing technical systems audits of the AASP's facilities and operating procedures at least once every two years;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Providing standards for use by the voluntary consensus standard body to approve the accrediting body that will accredit the audit sample providers.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68548C">
        <w:rPr>
          <w:rFonts w:ascii="Book Antiqua" w:eastAsia="Times New Roman" w:hAnsi="Book Antiqua" w:cs="Arial"/>
          <w:i/>
          <w:iCs/>
          <w:sz w:val="16"/>
          <w:szCs w:val="16"/>
        </w:rPr>
        <w:t xml:space="preserve">http://standards.gov/standards_gov/a119.cfm. </w:t>
      </w:r>
      <w:r w:rsidRPr="0068548C">
        <w:rPr>
          <w:rFonts w:ascii="Book Antiqua" w:eastAsia="Times New Roman" w:hAnsi="Book Antiqua" w:cs="Arial"/>
          <w:sz w:val="16"/>
          <w:szCs w:val="16"/>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8548C">
        <w:rPr>
          <w:rFonts w:ascii="Book Antiqua" w:eastAsia="Times New Roman" w:hAnsi="Book Antiqua" w:cs="Arial"/>
          <w:i/>
          <w:iCs/>
          <w:sz w:val="16"/>
          <w:szCs w:val="16"/>
        </w:rPr>
        <w:t xml:space="preserve">http://www.epa.gov/ttn/emc.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FR 24877, Dec. 23, 1971, as amended at 39 FR 9314, Mar. 8, 1974; 42 FR 57126, Nov. 1, 1977; 44 FR 33612, June 11, 1979; 54 FR 6662, Feb. 14, 1989; 54 FR 21344, May 17, 1989; 64 FR 7463, Feb. 12, 1999; 72 FR 27442, May 16, 2007; 75 FR 55646, Sept. 13, 2010]</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60.9   Availability of information.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60.10   State authority.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The provisions of this part shall not be construed in any manner to preclude any State or political subdivision thereof from: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Adopting and enforcing any emission standard or limitation applicable to an affected facility, provided that such emission standard or limitation is not less stringent than the standard applicable to such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Requiring the owner or operator of an affected facility to obtain permits, licenses, or approvals prior to initiating construction, modification, or operation of such facility.</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60.11   Compliance with standards and maintenance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Compliance with standards in this part, other than opacity standards, shall be determined in accordance with performance tests established by §60.8, unless otherwise specified in the applicable standard.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opacity standards set forth in this part shall apply at all times except during periods of startup, shutdown, malfunction, and as otherwise provided in the applicable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Special provisions set forth under an applicable subpart shall supersede any conflicting provisions in paragraphs (a) through (e)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[38 FR 28565, Oct. 15, 1973, as amended at 39 FR 39873, Nov. 12, 1974; 43 FR 8800, Mar. 3, 1978; 45 FR 23379, Apr. 4, 1980; 48 FR 48335, Oct. 18, 1983; 50 FR 53113, Dec. 27, 1985; 51 FR 1790, Jan. 15, 1986; 52 FR 9781, Mar. 26, 1987; 62 FR 8328, Feb. 24, 1997; 65 FR 61749, Oct. 17, 2000]</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60.12   Circumvention.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[39 FR 9314, Mar. 8, 1974]</w:t>
      </w:r>
    </w:p>
    <w:p w:rsidR="00773539" w:rsidRDefault="00773539">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lastRenderedPageBreak/>
        <w:t>§ 60.13   Monitoring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(2) All continuous monitoring systems referenced by paragraph (c) of this section for measuring emissions, except opacity, shall complete a minimum of one cycle of operation (sampling, analyzing, and data recording) for each successive 15-minute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 Except as provided under paragraph (h)(2)(iii) of this section, for a full operating hour (any clock hour with 60 minutes of unit operation), at least four valid data points are required to calculate the hourly average, </w:t>
      </w:r>
      <w:r w:rsidRPr="0068548C">
        <w:rPr>
          <w:rFonts w:ascii="Book Antiqua" w:eastAsia="Times New Roman" w:hAnsi="Book Antiqua" w:cs="Arial"/>
          <w:i/>
          <w:iCs/>
          <w:sz w:val="16"/>
          <w:szCs w:val="16"/>
        </w:rPr>
        <w:t xml:space="preserve">i.e. </w:t>
      </w:r>
      <w:r w:rsidRPr="0068548C">
        <w:rPr>
          <w:rFonts w:ascii="Book Antiqua" w:eastAsia="Times New Roman" w:hAnsi="Book Antiqua" w:cs="Arial"/>
          <w:sz w:val="16"/>
          <w:szCs w:val="16"/>
        </w:rPr>
        <w:t>, one data point in each of the 15-minute quadrants of the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For any operating hour in which required maintenance or quality-assurance activities are performed: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If the unit operates in two or more quadrants of the hour, a minimum of two valid data points, separated by at least 15 minutes, is required to calculate the hourly average;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If the unit operates in only one quadrant of the hour, at least one valid data point is required to calculate the hourly average.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For each full or partial operating hour, all valid data points shall be used to calculate the hourly average.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Owners and operators complying with the requirements of §60.7(f)(1) or (2) must include any data recorded during periods of monitor breakdown or malfunction in the data averages.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(viii) When specified in an applicable subpart, hourly averages for certain partial operating hours shall not be computed or included in the emission averages ( </w:t>
      </w:r>
      <w:r w:rsidRPr="0068548C">
        <w:rPr>
          <w:rFonts w:ascii="Book Antiqua" w:eastAsia="Times New Roman" w:hAnsi="Book Antiqua" w:cs="Arial"/>
          <w:i/>
          <w:iCs/>
          <w:sz w:val="16"/>
          <w:szCs w:val="16"/>
        </w:rPr>
        <w:t xml:space="preserve">e.g. </w:t>
      </w:r>
      <w:r w:rsidRPr="0068548C">
        <w:rPr>
          <w:rFonts w:ascii="Book Antiqua" w:eastAsia="Times New Roman" w:hAnsi="Book Antiqua" w:cs="Arial"/>
          <w:sz w:val="16"/>
          <w:szCs w:val="16"/>
        </w:rPr>
        <w:t>hours with &lt; 30 minutes of unit operation under §60.47b(d)).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 xml:space="preserve">(ix) Either arithmetic or integrated averaging of all data may be used to calculate the hourly averages. The data may be recorded in reduced or nonreduced form ( </w:t>
      </w:r>
      <w:r w:rsidRPr="0068548C">
        <w:rPr>
          <w:rFonts w:ascii="Book Antiqua" w:eastAsia="Times New Roman" w:hAnsi="Book Antiqua" w:cs="Arial"/>
          <w:i/>
          <w:iCs/>
          <w:sz w:val="16"/>
          <w:szCs w:val="16"/>
        </w:rPr>
        <w:t xml:space="preserve">e.g. </w:t>
      </w:r>
      <w:r w:rsidRPr="0068548C">
        <w:rPr>
          <w:rFonts w:ascii="Book Antiqua" w:eastAsia="Times New Roman" w:hAnsi="Book Antiqua" w:cs="Arial"/>
          <w:sz w:val="16"/>
          <w:szCs w:val="16"/>
        </w:rPr>
        <w:t>, ppm pollutant and percent 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or ng/J of pollutant).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After receipt and consideration of written application, the Administrator may approve alternatives to any monitoring procedures or requirements of this part including, but not limited to the following: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Alternative monitoring requirements when the affected facility is infrequently operated.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Alternative monitoring requirements to accommodate continuous monitoring systems that require additional measurements to correct for stack moisture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Alternative locations for installing continuous monitoring systems or monitoring devices when the owner or operator can demonstrate that installation at alternate locations will enable accurate and representative measurements.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Alternative methods of converting pollutant concentration measurements to units of the standards.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Alternative procedures for performing daily checks of zero and span drift that do not involve use of span gases or test cells.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Alternatives to the A.S.T.M. test methods or sampling procedures specified by any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 Alternative monitoring requirements when the effluent from a single affected facility or the combined effluent from two or more affected facilities is released to the atmosphere through more than one point.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 An alternative to the relative accuracy (RA) test specified in Performance Specification 2 of appendix B may be requested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Editorial Note:</w:t>
      </w:r>
      <w:r w:rsidRPr="0068548C">
        <w:rPr>
          <w:rFonts w:ascii="Book Antiqua" w:eastAsia="Times New Roman" w:hAnsi="Book Antiqua" w:cs="Arial"/>
          <w:sz w:val="16"/>
          <w:szCs w:val="16"/>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60.14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Emission rate shall be expressed as kg/hr of any pollutant discharged into the atmosphere for which a standard is applicable. The Administrator shall use the following to determine emission rate: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addition of an affected facility to a stationary source as an expansion to that source or as a replacement for an existing facility shall not by itself bring within the applicability of this part any other facility within that source.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following shall not, by themselves, be considered modifications under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Maintenance, repair, and replacement which the Administrator determines to be routine for a source category, subject to the provisions of paragraph (c) of this section and §60.15.</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(2) An increase in production rate of an existing facility, if that increase can be accomplished without a capital expenditure on that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An increase in the hours of operation.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The relocation or change in ownership of an existing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Special provisions set forth under an applicable subpart of this part shall supersede any conflicting provisions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Within 180 days of the completion of any physical or operational change subject to the control measures specified in paragraph (a) of this section, compliance with all applicable standards must be achieved.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This exemption shall not apply to any new unit that: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Is designated as a replacement for an existing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Qualifies under section 409(b) of the Clean Air Act for an extension of an emission limitation compliance date under section 405 of the Clean Air Act;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Is located at a different site than the existing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(k) The installation, operation, cessation, or removal of a temporary clean coal technology demonstration project is exempt from the requirements of this section. A </w:t>
      </w:r>
      <w:r w:rsidRPr="0068548C">
        <w:rPr>
          <w:rFonts w:ascii="Book Antiqua" w:eastAsia="Times New Roman" w:hAnsi="Book Antiqua" w:cs="Arial"/>
          <w:i/>
          <w:iCs/>
          <w:sz w:val="16"/>
          <w:szCs w:val="16"/>
        </w:rPr>
        <w:t xml:space="preserve">temporary clean coal control technology demonstration project, </w:t>
      </w:r>
      <w:r w:rsidRPr="0068548C">
        <w:rPr>
          <w:rFonts w:ascii="Book Antiqua" w:eastAsia="Times New Roman" w:hAnsi="Book Antiqua" w:cs="Arial"/>
          <w:sz w:val="16"/>
          <w:szCs w:val="16"/>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 The reactivation of a very clean coal-fired electric utility steam generating unit is exempt from the requirements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58419, Dec. 16, 1975, as amended at 43 FR 34347, Aug. 3, 1978; 45 FR 5617, Jan. 23, 1980; 57 FR 32339, July 21, 1992; 65 FR 61750, Oct. 17, 2000]</w:t>
      </w:r>
    </w:p>
    <w:p w:rsidR="00773539" w:rsidRDefault="00773539">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lastRenderedPageBreak/>
        <w:t>§ 60.15   Reconstruction.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An existing facility, upon reconstruction, becomes an affected facility, irrespective of any change in emission rate.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“Reconstruction” means the replacement of components of an existing facility to such an extent that: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fixed capital cost of the new components exceeds 50 percent of the fixed capital cost that would be required to construct a comparable entirely new facility,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It is technologically and economically feasible to meet the applicable standards set forth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“Fixed capital cost” means the capital needed to provide all the depreciable components.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Name and address of the owner or operator.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location of the existing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 brief description of the existing facility and the components which are to be replaced.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 description of the existing air pollution control equipment and the proposed air pollution control equipment.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An estimate of the fixed capital cost of the replacements and of constructing a comparable entirely new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The estimated life of the existing facility after the replacements.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 discussion of any economic or technical limitations the facility may have in complying with the applicable standards of performance after the proposed replacements.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Administrator will determine, within 30 days of the receipt of the notice required by paragraph (d) of this section and any additional information he may reasonably require, whether the proposed replacement constitutes reconstruction.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The Administrator's determination under paragraph (e) shall be based 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fixed capital cost of the replacements in comparison to the fixed capital cost that would be required to construct a comparable entirely new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estimated life of the facility after the replacements compared to the life of a comparable entirely new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extent to which the components being replaced cause or contribute to the emissions from the facility;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Any economic or technical limitations on compliance with applicable standards of performance which are inherent in the proposed replacements.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Individual subparts of this part may include specific provisions which refine and delimit the concept of reconstruction set forth in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58420, Dec. 16, 1975]</w:t>
      </w:r>
    </w:p>
    <w:p w:rsidR="00773539" w:rsidRDefault="00773539">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lastRenderedPageBreak/>
        <w:t>§ 60.16   Priority list.</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96"/>
        <w:gridCol w:w="8194"/>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i/>
                <w:iCs/>
                <w:sz w:val="16"/>
                <w:szCs w:val="16"/>
              </w:rPr>
              <w:t>Priority Number</w:t>
            </w:r>
            <w:r w:rsidRPr="0068548C">
              <w:rPr>
                <w:rFonts w:ascii="Book Antiqua" w:eastAsia="Times New Roman" w:hAnsi="Book Antiqua" w:cs="Times New Roman"/>
                <w:b/>
                <w:bCs/>
                <w:sz w:val="16"/>
                <w:szCs w:val="16"/>
              </w:rPr>
              <w:t xml:space="preserve"> </w:t>
            </w:r>
            <w:r w:rsidRPr="0068548C">
              <w:rPr>
                <w:rFonts w:ascii="Book Antiqua" w:eastAsia="Times New Roman" w:hAnsi="Book Antiqua" w:cs="Times New Roman"/>
                <w:b/>
                <w:bCs/>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i/>
                <w:iCs/>
                <w:sz w:val="16"/>
                <w:szCs w:val="16"/>
              </w:rPr>
              <w:t>Source Category</w:t>
            </w:r>
            <w:r w:rsidRPr="0068548C">
              <w:rPr>
                <w:rFonts w:ascii="Book Antiqua" w:eastAsia="Times New Roman" w:hAnsi="Book Antiqua" w:cs="Times New Roman"/>
                <w:b/>
                <w:bCs/>
                <w:sz w:val="16"/>
                <w:szCs w:val="16"/>
              </w:rPr>
              <w:t xml:space="preserve"> </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Organic Chemical Manufacturing Industry (SOCMI) and Volatile Organic Liquid Storage Vessels and Handling Equipment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SOCMI unit processes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Volatile organic liquid (VOL) storage vessels and handling equipment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 SOCMI fugitive sources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 SOCMI secondary sources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Cans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Fugitive Sources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Paper</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Dry Cleaning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Perchloroethylene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Petroleum solvent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Acrylic Resins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Mineral Wool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Internal Combustion Engines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Fabric</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Incineration: Non-Municipal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Copper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Preparation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Foundries: Steel and Gray Iron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Polyethylene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Charcoal Production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Rubber</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Tire manufacture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SBR production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Vegetable Oil</w:t>
            </w:r>
          </w:p>
        </w:tc>
      </w:tr>
    </w:tbl>
    <w:p w:rsidR="00773539" w:rsidRDefault="00773539">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3"/>
        <w:gridCol w:w="887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22.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Metal Coil</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Transportation and Marketing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By-Product Coke Ovens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Plywood Manufacture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Automobiles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Crude Oil and Natural Gas Production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Aluminum</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Potash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Lightweight Aggregate Industry: Clay, Shale, and Slate</w:t>
            </w:r>
            <w:r w:rsidRPr="0068548C">
              <w:rPr>
                <w:rFonts w:ascii="Book Antiqua" w:eastAsia="Times New Roman" w:hAnsi="Book Antiqua" w:cs="Times New Roman"/>
                <w:sz w:val="16"/>
                <w:szCs w:val="16"/>
                <w:vertAlign w:val="superscript"/>
              </w:rPr>
              <w:t>2</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Gypsum</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Sodium Carbonate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Zinc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Phenolic</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Urea-Melamine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Ammonia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Polystyrene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ABS-SAN Resins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Fiberglass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Polypropylene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Textile Processing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Brick and Related Clay Products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Ceramic Clay Manufacturing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Nitrate Fertilizer</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Castable Refractories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Borax and Boric Acid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Polyester Resins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Starch</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Perlite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Phosphoric Acid: Thermal Process (Deleted)</w:t>
            </w:r>
          </w:p>
        </w:tc>
      </w:tr>
    </w:tbl>
    <w:p w:rsidR="00773539" w:rsidRDefault="00773539">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31"/>
        <w:gridCol w:w="865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lastRenderedPageBreak/>
              <w:t>56.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Uranium Refining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Animal Feed Defluorination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Urea (for fertilizer and polymers)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Detergent (Deleted)</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i/>
                <w:iCs/>
                <w:sz w:val="16"/>
                <w:szCs w:val="16"/>
              </w:rPr>
              <w:t>Other Source Categories</w:t>
            </w:r>
            <w:r w:rsidRPr="0068548C">
              <w:rPr>
                <w:rFonts w:ascii="Book Antiqua" w:eastAsia="Times New Roman" w:hAnsi="Book Antiqua" w:cs="Times New Roman"/>
                <w:sz w:val="16"/>
                <w:szCs w:val="16"/>
              </w:rPr>
              <w:t xml:space="preserve"> </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 acid battery manufacture</w:t>
            </w:r>
            <w:r w:rsidRPr="0068548C">
              <w:rPr>
                <w:rFonts w:ascii="Book Antiqua" w:eastAsia="Times New Roman" w:hAnsi="Book Antiqua" w:cs="Times New Roman"/>
                <w:sz w:val="16"/>
                <w:szCs w:val="16"/>
                <w:vertAlign w:val="superscript"/>
              </w:rPr>
              <w:t>3</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Organic solvent cleaning</w:t>
            </w:r>
            <w:r w:rsidRPr="0068548C">
              <w:rPr>
                <w:rFonts w:ascii="Book Antiqua" w:eastAsia="Times New Roman" w:hAnsi="Book Antiqua" w:cs="Times New Roman"/>
                <w:sz w:val="16"/>
                <w:szCs w:val="16"/>
                <w:vertAlign w:val="superscript"/>
              </w:rPr>
              <w:t>3</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metal furniture</w:t>
            </w:r>
            <w:r w:rsidRPr="0068548C">
              <w:rPr>
                <w:rFonts w:ascii="Book Antiqua" w:eastAsia="Times New Roman" w:hAnsi="Book Antiqua" w:cs="Times New Roman"/>
                <w:sz w:val="16"/>
                <w:szCs w:val="16"/>
                <w:vertAlign w:val="superscript"/>
              </w:rPr>
              <w:t>3</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r w:rsidRPr="0068548C">
              <w:rPr>
                <w:rFonts w:ascii="Book Antiqua" w:eastAsia="Times New Roman" w:hAnsi="Book Antiqua" w:cs="Times New Roman"/>
                <w:sz w:val="16"/>
                <w:szCs w:val="16"/>
                <w:vertAlign w:val="superscript"/>
              </w:rPr>
              <w:t>4</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r w:rsidRPr="0068548C">
              <w:rPr>
                <w:rFonts w:ascii="Book Antiqua" w:eastAsia="Times New Roman" w:hAnsi="Book Antiqua" w:cs="Times New Roman"/>
                <w:sz w:val="16"/>
                <w:szCs w:val="16"/>
                <w:vertAlign w:val="superscript"/>
              </w:rPr>
              <w:t>4</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Low numbers have highest priority, e.g., No. 1 is high priority, No. 59 is low priority.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2</w:t>
      </w:r>
      <w:r w:rsidRPr="0068548C">
        <w:rPr>
          <w:rFonts w:ascii="Book Antiqua" w:eastAsia="Times New Roman" w:hAnsi="Book Antiqua" w:cs="Arial"/>
          <w:sz w:val="16"/>
          <w:szCs w:val="16"/>
        </w:rPr>
        <w:t>Formerly titled “Sintering: Clay and Fly Ash”.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Minor source category, but included on list since an NSPS is being developed for that source category.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4</w:t>
      </w:r>
      <w:r w:rsidRPr="0068548C">
        <w:rPr>
          <w:rFonts w:ascii="Book Antiqua" w:eastAsia="Times New Roman" w:hAnsi="Book Antiqua" w:cs="Arial"/>
          <w:sz w:val="16"/>
          <w:szCs w:val="16"/>
        </w:rPr>
        <w:t>Not prioritized, since an NSPS for this major source category has already been promulgated.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[47 FR 951, Jan. 8, 1982, as amended at 47 FR 31876, July 23, 1982; 51 FR 42796, Nov. 25, 1986; 52 FR 11428, Apr. 8, 1987; 61 FR 9919, Mar. 12, 1996]</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60.17   Incorporations by reference.</w:t>
      </w:r>
    </w:p>
    <w:p w:rsidR="0068548C" w:rsidRPr="0068548C" w:rsidRDefault="00A11830" w:rsidP="0068548C">
      <w:pPr>
        <w:spacing w:before="100" w:beforeAutospacing="1" w:after="100" w:afterAutospacing="1" w:line="240" w:lineRule="auto"/>
        <w:rPr>
          <w:rFonts w:ascii="Book Antiqua" w:eastAsia="Times New Roman" w:hAnsi="Book Antiqua" w:cs="Arial"/>
          <w:sz w:val="16"/>
          <w:szCs w:val="16"/>
        </w:rPr>
      </w:pPr>
      <w:hyperlink r:id="rId13" w:history="1">
        <w:r w:rsidR="0068548C" w:rsidRPr="0068548C">
          <w:rPr>
            <w:rFonts w:ascii="Book Antiqua" w:eastAsia="Times New Roman" w:hAnsi="Book Antiqua" w:cs="Arial"/>
            <w:color w:val="0000FF"/>
            <w:sz w:val="16"/>
            <w:szCs w:val="16"/>
            <w:u w:val="single"/>
          </w:rPr>
          <w:t>Link to an amendment published at 76 FR 15404, Mar. 21, 2011.</w:t>
        </w:r>
      </w:hyperlink>
    </w:p>
    <w:p w:rsidR="0068548C" w:rsidRPr="0068548C" w:rsidRDefault="00A11830" w:rsidP="0068548C">
      <w:pPr>
        <w:spacing w:before="100" w:beforeAutospacing="1" w:after="100" w:afterAutospacing="1" w:line="240" w:lineRule="auto"/>
        <w:rPr>
          <w:rFonts w:ascii="Book Antiqua" w:eastAsia="Times New Roman" w:hAnsi="Book Antiqua" w:cs="Arial"/>
          <w:sz w:val="16"/>
          <w:szCs w:val="16"/>
        </w:rPr>
      </w:pPr>
      <w:hyperlink r:id="rId14" w:history="1">
        <w:r w:rsidR="0068548C" w:rsidRPr="0068548C">
          <w:rPr>
            <w:rFonts w:ascii="Book Antiqua" w:eastAsia="Times New Roman" w:hAnsi="Book Antiqua" w:cs="Arial"/>
            <w:color w:val="0000FF"/>
            <w:sz w:val="16"/>
            <w:szCs w:val="16"/>
            <w:u w:val="single"/>
          </w:rPr>
          <w:t>Link to an amendment published at 76 FR 15450, Mar. 21, 2011.</w:t>
        </w:r>
      </w:hyperlink>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68548C">
        <w:rPr>
          <w:rFonts w:ascii="Book Antiqua" w:eastAsia="Times New Roman" w:hAnsi="Book Antiqua" w:cs="Arial"/>
          <w:i/>
          <w:iCs/>
          <w:sz w:val="16"/>
          <w:szCs w:val="16"/>
        </w:rPr>
        <w:t xml:space="preserve">http://www.archives.gov/federal_register/code_of_federal_regulations/ibr_locations.html.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ASTM A99–76, 82 (Reapproved 1987), Standard Specification for Ferromanganese, incorporation by reference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ASTM A100–69, 74, 93, Standard Specification for Ferrosilicon,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ASTM A101–73, 93, Standard Specification for Ferrochromium,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ASTM A482–76, 93, Standard Specification for Ferrochromesilicon,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ASTM A483–64, 74 (Reapproved 1988), Standard Specification for Silicomanganese, IBR approved for §60.261.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(6) ASTM A495–76, 94, Standard Specification for Calcium-Silicon and Calcium Manganese-Silicon,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ASTM D86–78, 82, 90, 93, 95, 96, Distillation of Petroleum Products, IBR approved for §§60.562–2(d), 60.593(d), 60.593a(d), and 60.633(h).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 ASTM D129–64, 78, 95, 00, Standard Test Method for Sulfur in Petroleum Products (General Bomb Method), IBR approved for §§60.106(j)(2), 60.335(b)(10)(i), and appendix A: Method 19,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 ASTM D129–00 (Reapproved 2005), Standard Test Method for Sulfur in Petroleum Products (General Bomb Method),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(10) ASTM D240–76, 92, Standard Test Method for Heat of Combustion of Liquid Hydrocarbon Fuels by Bomb Calorimeter, IBR approved for §§60.46(c), 60.296(b), and appendix A: Method 19, Section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(11) ASTM D270–65, 75, Standard Method of Sampling Petroleum and Petroleum Products, IBR approved for appendix A: Method 19, Section 12.5.2.2.1.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(12) ASTM D323–82, 94, Test Method for Vapor Pressure of Petroleum Products (Reid Method), IBR approved for §§60.111(l), 60.111a(g), 60.111b(g), and 60.116b(f)(2)(ii).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(13) ASTM D388–77, 90, 91, 95, 98a, 99 (Reapproved 2004)ε</w:t>
      </w: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(14) ASTM D396–78, 89, 90, 92, 96, 98, Standard Specification for Fuel Oils, IBR approved for §§60.41b of subpart Db of this part, 60.41c of subpart Dc of this part, 60.111(b) of subpart K of this part, and 60.111a(b) of subpart Ka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(15) ASTM D975–78, 96, 98a, Standard Specification for Diesel Fuel Oils, IBR approved for §§60.111(b) of subpart K of this part and 60.111a(b) of subpart Ka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(16) ASTM D975–08a, Standard Specification for Diesel Fuel Oils, IBR approved for §§60.41b of subpart Db of this part and 60.41c of subpart Dc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(17) ASTM D1072–80, 90 (Reapproved 1994), Standard Test Method for Total Sulfur in Fuel Gases, IBR approved for §60.335(b)(10)(ii).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(18) ASTM D1072–90 (Reapproved 1999), Standard Test Method for Total Sulfur in Fuel Gases, IBR approved for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(19) ASTM D1137–53, 75, Standard Method for Analysis of Natural Gases and Related Types of Gaseous Mixtures by the Mass Spectrometer, IBR approved for §60.45(f)(5)(i).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(21) ASTM D1266–87, 91, 98, Standard Test Method for Sulfur in Petroleum Products (Lamp Method), IBR approved for §§60.106(j)(2) and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(22) ASTM D1266–98 (Reapproved 2003)e1, Standard Test Method for Sulfur in Petroleum Products (Lamp Method),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(23) ASTM D1475–60 (Reapproved 1980), 90, Standard Test Method for Density of Paint, Varnish Lacquer, and Related Products, IBR approved for §60.435(d)(1), appendix A: Method 24, Section 6.1; and Method 24A, Sections 6.5 and 7.1.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(24) ASTM D1552–83, 95, 01, Standard Test Method for Sulfur in Petroleum Products (High-Temperature Method), IBR approved for §§60.106(j)(2), 60.335(b)(10)(i), and appendix A: Method 19, Section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(25) ASTM D1552–03, Standard Test Method for Sulfur in Petroleum Products (High-Temperature Method),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(26) ASTM D1826–77, 94, Standard Test Method for Calorific Value of Gases in Natural Gas Range by Continuous Recording Calorimeter, IBR approved for §§60.45(f)(5)(ii), 60.46(c)(2), 60.296(b)(3), and appendix A: Method 19, Section 12.3.2.4.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(27) ASTM D1835–87, 91, 97, 03a, Standard Specification for Liquefied Petroleum (LP) Gases, IBR approved for §§60.41Da of subpart Da of this part, 60.41b of subpart Db of this part, and 60.41c of subpart Dc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(28) ASTM D1945–64, 76, 91, 96, Standard Method for Analysis of Natural Gas by Gas Chromatography, IBR approved for §60.45(f)(5)(i).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(29) ASTM D1946–77, 90 (Reapproved 1994), Standard Method for Analysis of Reformed Gas by Gas Chromatography, IBR approved for §§60.18(f)(3), 60.45(f)(5)(i), 60.564(f)(1), 60.614(e)(2)(ii), 60.614(e)(4), 60.664(e)(2)(ii), 60.664(e)(4), 60.704(d)(2)(ii), and 60.704(d)(4).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(30) ASTM D2013–72, 86, Standard Method of Preparing Coal Samples for Analysis,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(31) ASTM D2015–77 (Reapproved 1978), 96, Standard Test Method for Gross Calorific Value of Solid Fuel by the Adiabatic Bomb Calorimeter, IBR approved for §60.45(f)(5)(ii), 60.46(c)(2), and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(32) ASTM D2016–74, 83, Standard Test Methods for Moisture Content of Wood, IBR approved for appendix A: Method 28, Section 16.1.1.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(33) ASTM D2234–76, 96, 97b, 98, Standard Methods for Collection of a Gross Sample of Coal, IBR approved for appendix A: Method 19, Section 12.5.2.1.1.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(34) ASTM D2369–81, 87, 90, 92, 93, 95, Standard Test Method for Volatile Content of Coatings, IBR approved for appendix A: Method 24, Section 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(35) ASTM D2382–76, 88, Heat of Combustion of Hydrocarbon Fuels by Bomb Calorimeter (High-Precision Method), IBR approved for §§60.18(f)(3), 60.485(g)(6), 60.485a(g)(6), 60.564(f)(3), 60.614(e)(4), 60.664(e)(4), and 60.704(d)(4).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ASTM D2504–67, 77, 88 (Reapproved 1993), Noncondensable Gases in C3 and Lighter Hydrocarbon Products by Gas Chromatography, IBR approved for §§60.485(g)(5) and 60.485a(g)(5).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(37) ASTM D2584–68 (Reapproved 1985), 94, Standard Test Method for Ignition Loss of Cured Reinforced Resins, IBR approved for §60.685(c)(3)(i).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(38) ASTM D2597–94 (Reapproved 1999), Standard Test Method for Analysis of Demethanized Hydrocarbon Liquid Mixtures Containing Nitrogen and Carbon Dioxide by Gas Chromatography, IBR approved for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(39) ASTM D2622–87, 94, 98, Standard Test Method for Sulfur in Petroleum Products by Wavelength Dispersive X-Ray Fluorescence Spectrometry, IBR approved for §§60.106(j)(2) and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ASTM D2622–05, Standard Test Method for Sulfur in Petroleum Products by Wavelength Dispersive X-Ray Fluorescence Spectrometry,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(41) ASTM D2879–83, 96, 97, Test Method for Vapor Pressure-Temperature Relationship and Initial Decomposition Temperature of Liquids by Isoteniscope, IBR approved for §§60.111b(f)(3), 60.116b(e)(3)(ii), 60.116b(f)(2)(i), 60.485(e)(1), and 60.485a(e)(1).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(42) ASTM D2880–78, 96, Standard Specification for Gas Turbine Fuel Oils, IBR approved for §§60.111(b), 60.111a(b), and 60.335(d).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(43) ASTM D2908–74, 91, Standard Practice for Measuring Volatile Organic Matter in Water by Aqueous-Injection Gas Chromatography, IBR approved for §60.564(j).</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(44) ASTM D2986–71, 78, 95a, Standard Method for Evaluation of Air, Assay Media by the Monodisperse DOP (Dioctyl Phthalate) Smoke Test, IBR approved for appendix A: Method 5, Section 7.1.1; Method 12, Section 7.1.1; and Method 13A, Section 7.1.1.2.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(45) ASTM D3173–73, 87, Standard Test Method for Moisture in the Analysis Sample of Coal and Coke,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(46) ASTM D3176–74, 89, Standard Method for Ultimate Analysis of Coal and Coke, IBR approved for §60.45(f)(5)(i) and appendix A: Method 19, Section 12.3.2.3.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(47) ASTM D3177–75, 89, Standard Test Method for Total Sulfur in the Analysis Sample of Coal and Coke,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(48) ASTM D3178–73 (Reapproved 1979), 89, Standard Test Methods for Carbon and Hydrogen in the Analysis Sample of Coal and Coke, IBR approved for §60.45(f)(5)(i).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(49) ASTM D3246–81, 92, 96, Standard Test Method for Sulfur in Petroleum Gas by Oxidative Microcoulometry, IBR approved for §60.335(b)(10)(ii).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(50) ASTM D3246–05, Standard Test Method for Sulfur in Petroleum Gas by Oxidative Microcoulometry, IBR approved for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(51) ASTM D3270–73T, 80, 91, 95, Standard Test Methods for Analysis for Fluoride Content of the Atmosphere and Plant Tissues (Semiautomated Method), IBR approved for appendix A: Method 13A, Section 16.1.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(52) ASTM D3286–85, 96, Standard Test Method for Gross Calorific Value of Coal and Coke by the Isoperibol Bomb Calorimeter,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(53) ASTM D3370–76, 95a, Standard Practices for Sampling Water, IBR approved for §60.564(j).</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(54) ASTM D3792–79, 91, Standard Test Method for Water Content of Water-Reducible Paints by Direct Injection into a Gas Chromatograph, IBR approved for appendix A: Method 24, Section 6.3.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(55) ASTM D4017–81, 90, 96a, Standard Test Method for Water in Paints and Paint Materials by the Karl Fischer Titration Method, IBR approved for appendix A: Method 24, Section 6.4.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(56) ASTM D4057–81, 95, Standard Practice for Manual Sampling of Petroleum and Petroleum Products, IBR approved for appendix A: Method 19, Section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(57) ASTM D4057–95 (Reapproved 2000), Standard Practice for Manual Sampling of Petroleum and Petroleum Products, IBR approved for §60.4415(a)(1).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(58) ASTM D4084–82, 94, Standard Test Method for Analysis of Hydrogen Sulfide in Gaseous Fuels (Lead Acetate Reaction Rate Method), IBR approved for §60.334(h)(1).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(59) ASTM D4084–05, Standard Test Method for Analysis of Hydrogen Sulfide in Gaseous Fuels (Lead Acetate Reaction Rate Method), IBR approved for §§60.4360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(60) ASTM D4177–95, Standard Practice for Automatic Sampling of Petroleum and Petroleum Products, IBR approved for appendix A: Method 19, Section 12.5.2.2.1.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(61) ASTM D4177–95 (Reapproved 2000), Standard Practice for Automatic Sampling of Petroleum and Petroleum Products, IBR approved for §60.4415(a)(1).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(62) ASTM D4239–85, 94, 97, Standard Test Methods for Sulfur in the Analysis Sample of Coal and Coke Using High Temperature Tube Furnace Combustion Methods,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(63) ASTM D4294–02, Standard Test Method for Sulfur in Petroleum and Petroleum Products by Energy-Dispersive X-Ray Fluorescence Spectrometry, IBR approved for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(64) ASTM D4294–03, Standard Test Method for Sulfur in Petroleum and Petroleum Products by Energy-Dispersive X-Ray Fluorescence Spectrometry,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(65) ASTM D4442–84, 92, Standard Test Methods for Direct Moisture Content Measurement in Wood and Wood-base Materials, IBR approved for appendix A: Method 28, Section 16.1.1.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(66) ASTM D4444–92, Standard Test Methods for Use and Calibration of Hand-Held Moisture Meters, IBR approved for appendix A: Method 28, Section 16.1.1.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(67) ASTM D4457–85 (Reapproved 1991), Test Method for Determination of Dichloromethane and 1, 1, 1-Trichloroethane in Paints and Coatings by Direct Injection into a Gas Chromatograph, IBR approved for appendix A: Method 24, Section 6.5.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(68) ASTM D4468–85 (Reapproved 2000), Standard Test Method for Total Sulfur in Gaseous Fuels by Hydrogenolysis and Rateometric Colorimetry, IBR approved for §§60.335(b)(10)(ii)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(69) ASTM D4629–02, Standard Test Method for Trace Nitrogen in Liquid Petroleum Hydrocarbons by Syringe/Inlet Oxidative Combustion and Chemiluminescence Detection, IBR approved for §§60.49b(e) and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(70) ASTM D4809–95, Standard Test Method for Heat of Combustion of Liquid Hydrocarbon Fuels by Bomb Calorimeter (Precision Method), IBR approved for §§60.18(f)(3), 60.485(g)(6), 60.485a(g)(6), 60.564(f)(3), 60.614(d)(4), 60.664(e)(4), and 60.704(d)(4).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(71) ASTM D4810–88 (Reapproved 1999), Standard Test Method for Hydrogen Sulfide in Natural Gas Using Length of Stain Detector Tubes, IBR approved for §§60.4360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(72) ASTM D5287–97 (Reapproved 2002), Standard Practice for Automatic Sampling of Gaseous Fuels, IBR approved for §60.4415(a)(1).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(73) ASTM D5403–93, Standard Test Methods for Volatile Content of Radiation Curable Materials, IBR approved for appendix A: Method 24, Section 6.6.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(74) ASTM D5453–00, Standard Test Method for Determination of Total Sulfur in Light Hydrocarbons, Motor Fuels and Oils by Ultraviolet Fluorescence, IBR approved for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(75) ASTM D5453–05, Standard Test Method for Determination of Total Sulfur in Light Hydrocarbons, Motor Fuels and Oils by Ultraviolet Fluorescence,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(76) ASTM D5504–01, Standard Test Method for Determination of Sulfur Compounds in Natural Gas and Gaseous Fuels by Gas Chromatography and Chemiluminescence, IBR approved for §§60.334(h)(1) and 60.4360.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(77) ASTM D5762–02, Standard Test Method for Nitrogen in Petroleum and Petroleum Products by Boat-Inlet Chemiluminescence, IBR approved for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(78) ASTM D5865–98, Standard Test Method for Gross Calorific Value of Coal and Coke, IBR approved for §60.45(f)(5)(ii), 60.46(c)(2), and appendix A: Method 19, Section 12.5.2.1.3.</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(79) ASTM D6216–98, Standard Practice for Opacity Monitor Manufacturers to Certify Conformance with Design and Performance Specifications, IBR approved for appendix B, Performance Specification 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(80) ASTM D6228–98, Standard Test Method for Determination of Sulfur Compounds in Natural Gas and Gaseous Fuels by Gas Chromatography and Flame Photometric Detection, IBR approved for §60.334(h)(1).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(81) ASTM D6228–98 (Reapproved 2003), Standard Test Method for Determination of Sulfur Compounds in Natural Gas and Gaseous Fuels by Gas Chromatography and Flame Photometric Detection, IBR approved for §§60.4360 and 60.4415.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(82) ASTM D6348–03, Standard Test Method for Determination of Gaseous Compounds by Extractive Direct Interface Fourier Transform Infrared (FTIR) Spectroscopy, IBR approved for table 7 of subpart IIII of this part and table 2 of subpart JJJJ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(83) ASTM D6366–99, Standard Test Method for Total Trace Nitrogen and Its Derivatives in Liquid Aromatic Hydrocarbons by Oxidative Combustion and Electrochemical Detection, IBR approved for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(84) ASTM D6420–99 (Reapproved 2004) Standard Test Method for Determination of Gaseous Organic Compounds by Direct Interface Gas Chromatography-Mass Spectrometry, IBR approved for table 2 of subpart JJJJ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(87) ASTM D6667–01, Standard Test Method for Determination of Total Volatile Sulfur in Gaseous Hydrocarbons and Liquefied Petroleum Gases by Ultraviolet Fluorescence, IBR approved for §60.335(b)(10)(ii).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(88) ASTM D6667–04, Standard Test Method for Determination of Total Volatile Sulfur in Gaseous Hydrocarbons and Liquefied Petroleum Gases by Ultraviolet Fluorescence, IBR approved for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(89) ASTM D6784–02, Standard Test Method for Elemental, Oxidized, Particle-Bound and Total Mercury in Flue Gas Generated from Coal-Fired Stationary Sources (Ontario Hydro Method), IBR approved for appendix B to part 60, Performance Specification 12A, Section 8.6.2.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(91) ASTM E169–63, 77, 93, General Techniques of Ultraviolet Quantitative Analysis, IBR approved for §§60.485a(d)(1), 60.593(b)(2), 60.593a(b)(2), and 60.632(f).</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(92) ASTM E260–73, 91, 96, General Gas Chromatography Procedures, IBR approved for §§60.485a(d)(1), 60.593(b)(2), 60.593a(b)(2), and 60.632(f).</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The following material is available for purchase from the Association of Official Analytical Chemists, 1111 North 19th Street, Suite 210, Arlington, VA 22209.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AOAC Method 9, Official Methods of Analysis of the Association of Official Analytical Chemists, 11th edition, 1970, pp. 11–12, IBR approved January 27, 1983 for §§60.204(b)(3), 60.214(b)(3), 60.224(b)(3), 60.234(b)(3).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following material is available for purchase from the American Petroleum Institute, 1220 L Street NW., Washington, DC 20005.</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(1) API Publication 2517, Evaporation Loss from External Floating Roof Tanks, Second Edition, February 1980, IBR approved January 27, 1983, for §§60.111(i), 60.111a(f), 60.111a(f)(1) and 60.116b(e)(2)(i).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The following material is available for purchase from the Technical Association of the Pulp and Paper Industry (TAPPI), Dunwoody Park, Atlanta, GA 30341.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TAPPI Method T624 os–68, IBR approved January 27, 1983 for §60.285(d)(3).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following material is available for purchase from the Water Pollution Control Federation (WPCF), 2626 Pennsylvania Avenue NW., Washington, DC 20037.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Method 209A, Total Residue Dried at 103–105 °C, in Standard Methods for the Examination of Water and Wastewater, 15th Edition, 1980, IBR approved February 25, 1985 for §60.683(b).</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The following material is available for purchase from the following address: Underwriter's Laboratories, Inc. (UL), 333 Pfingsten Road, Northbrook, IL 60062.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UL 103, Sixth Edition revised as of September 3, 1986, Standard for Chimneys, Factory-built, Residential Type and Building Heating Appliance.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The following material is available for purchase from the following address: West Coast Lumber Inspection Bureau, 6980 SW. Barnes Road, Portland, OR 97223.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West Coast Lumber Standard Grading Rules No. 16, pages 5–21 and 90 and 91, September 3, 1970, revised 1984.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The following material is available for purchase from the American Society of Mechanical Engineers (ASME), Three Park Avenue, New York, NY 10016–5990.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ASME QRO–1–1994, Standard for the Qualification and Certification of Resource Recovery Facility Operators, IBR approved for §§60.56a, 60.54b(a), 60.54b(b), 60.1185(a), 60.1185(c)(2), 60.1675(a), and 60.1675(c)(2).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ASME PTC 4.1–1964 (Reaffirmed 1991), Power Test Codes: Test Code for Steam Generating Units (with 1968 and 1969 Addenda), IBR approved for §§60.46b of subpart Db of this part, 60.58a(h)(6)(ii), 60.58b(i)(6)(ii), 60.1320(a)(3) and 60.1810(a)(3).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ASME Interim Supplement 19.5 on Instruments and Apparatus: Application, Part II of Fluid Meters, 6th Edition (1971), IBR approved for §§60.58a(h)(6)(ii), 60.58b(i)(6)(ii), 60.1320(a)4), and 60.1810(a)(4).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ANSI/ASME PTC 19.10–1981, Flue and Exhaust Gas Analyses [Part 10, Instruments and Apparatus], IBR approved for §60.56c(b)(4) of subpart Ec, §60.63(f)(2) and (f)(4) of subpart F, §60.106(e)(2) of subpart J, §§60.104a(d)(3), (d)(5), (d)(6), (h)(3), (h)(4), (h)(5), (i)(3), (i)(4), (i)(5), (j)(3), and (j)(4), 60.105a(d)(4), (f)(2), (f)(4), (g)(2), and (g)(4), 60.106a(a)(1)(iii), (a)(2)(iii), (a)(2)(v), (a)(2)(viii), (a)(3)(ii), and (a)(3)(v), and 60.107a(a)(1)(ii), (a)(1)(iv), (a)(2)(ii), (c)(2), (c)(4), and (d)(2) of subpart Ja, §60.257(b)(3) of Subpart Y, tables 1 and 3 of subpart EEEE, tables 2 and 4 of subpart FFFF, table 2 of subpart JJJJ, and §60.4415(a)(2) and (a)(3) of subpart KKKK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OMB Bulletin No. 93–17: Revised Statistical Definitions for Metropolitan Areas. Office of Management and Budget, June 30, 1993. NTIS No. PB 93–192–664. IBR approved for §60.31e.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Gas Processors Association Standard 2377–86, Test for Hydrogen Sulfide and Carbon Dioxide in Natural Gas Using Length of Stain Tubes, 1986 Revision, IBR approved for §§60.105(b)(1)(iv), 60.107a(b)(1)(iv), 60.334(h)(1), 60.4360,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 This material is available for purchase from IHS Inc., 15 Inverness Way East, Englewood, CO 80112.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International Organization for Standards 8178–4: 1996(E), Reciprocating Internal Combustion Engines—Exhaust Emission Measurement—part 4: Test Cycles for Different Engine Applications, IBR approved for §60.4241(b).</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[48 FR 3735, Jan. 27, 1983]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Editorial Note:</w:t>
      </w:r>
      <w:r w:rsidRPr="0068548C">
        <w:rPr>
          <w:rFonts w:ascii="Book Antiqua" w:eastAsia="Times New Roman" w:hAnsi="Book Antiqua" w:cs="Arial"/>
          <w:sz w:val="16"/>
          <w:szCs w:val="16"/>
        </w:rPr>
        <w:t xml:space="preserve">   ForFederal Registercitations affecting §60.17, see the List of CFR Sections Affected, which appears in the Finding Aids section of the printed volume and at www.fdsys.gov.</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60.18   General control device and work practice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(a) </w:t>
      </w:r>
      <w:r w:rsidRPr="0068548C">
        <w:rPr>
          <w:rFonts w:ascii="Book Antiqua" w:eastAsia="Times New Roman" w:hAnsi="Book Antiqua" w:cs="Arial"/>
          <w:i/>
          <w:iCs/>
          <w:sz w:val="16"/>
          <w:szCs w:val="16"/>
        </w:rPr>
        <w:t xml:space="preserve">Introduction. </w:t>
      </w:r>
      <w:r w:rsidRPr="0068548C">
        <w:rPr>
          <w:rFonts w:ascii="Book Antiqua" w:eastAsia="Times New Roman" w:hAnsi="Book Antiqua" w:cs="Arial"/>
          <w:sz w:val="16"/>
          <w:szCs w:val="16"/>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(b) </w:t>
      </w:r>
      <w:r w:rsidRPr="0068548C">
        <w:rPr>
          <w:rFonts w:ascii="Book Antiqua" w:eastAsia="Times New Roman" w:hAnsi="Book Antiqua" w:cs="Arial"/>
          <w:i/>
          <w:iCs/>
          <w:sz w:val="16"/>
          <w:szCs w:val="16"/>
        </w:rPr>
        <w:t xml:space="preserve">Flares. </w:t>
      </w:r>
      <w:r w:rsidRPr="0068548C">
        <w:rPr>
          <w:rFonts w:ascii="Book Antiqua" w:eastAsia="Times New Roman" w:hAnsi="Book Antiqua" w:cs="Arial"/>
          <w:sz w:val="16"/>
          <w:szCs w:val="16"/>
        </w:rPr>
        <w:t>Paragraphs (c) through (f) apply to flares.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(c)(1) Flares shall be designed for and operated with no visible emissions as determined by the methods specified in paragraph (f), except for periods not to exceed a total of 5 minutes during any 2 consecutive hours.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Flares shall be operated with a flame present at all times, as determined by the methods specified in paragraph (f).</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as determined by the following equation: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=(X</w:t>
      </w:r>
      <w:r w:rsidRPr="0068548C">
        <w:rPr>
          <w:rFonts w:ascii="Book Antiqua" w:eastAsia="Times New Roman" w:hAnsi="Book Antiqua" w:cs="Arial"/>
          <w:sz w:val="16"/>
          <w:szCs w:val="16"/>
          <w:vertAlign w:val="subscript"/>
        </w:rPr>
        <w:t>H2</w:t>
      </w:r>
      <w:r w:rsidRPr="0068548C">
        <w:rPr>
          <w:rFonts w:ascii="Book Antiqua" w:eastAsia="Times New Roman" w:hAnsi="Book Antiqua" w:cs="Arial"/>
          <w:sz w:val="16"/>
          <w:szCs w:val="16"/>
        </w:rPr>
        <w:t>−K</w:t>
      </w:r>
      <w:r w:rsidRPr="0068548C">
        <w:rPr>
          <w:rFonts w:ascii="Book Antiqua" w:eastAsia="Times New Roman" w:hAnsi="Book Antiqua" w:cs="Arial"/>
          <w:sz w:val="16"/>
          <w:szCs w:val="16"/>
          <w:vertAlign w:val="subscript"/>
        </w:rPr>
        <w:t>1</w:t>
      </w:r>
      <w:r w:rsidRPr="0068548C">
        <w:rPr>
          <w:rFonts w:ascii="Book Antiqua" w:eastAsia="Times New Roman" w:hAnsi="Book Antiqua" w:cs="Arial"/>
          <w:sz w:val="16"/>
          <w:szCs w:val="16"/>
        </w:rPr>
        <w:t>)* K</w:t>
      </w:r>
      <w:r w:rsidRPr="0068548C">
        <w:rPr>
          <w:rFonts w:ascii="Book Antiqua" w:eastAsia="Times New Roman" w:hAnsi="Book Antiqua" w:cs="Arial"/>
          <w:sz w:val="16"/>
          <w:szCs w:val="16"/>
          <w:vertAlign w:val="subscript"/>
        </w:rPr>
        <w:t>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=Maximum permitted velocity, m/sec.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w:t>
      </w:r>
      <w:r w:rsidRPr="0068548C">
        <w:rPr>
          <w:rFonts w:ascii="Book Antiqua" w:eastAsia="Times New Roman" w:hAnsi="Book Antiqua" w:cs="Arial"/>
          <w:sz w:val="16"/>
          <w:szCs w:val="16"/>
          <w:vertAlign w:val="subscript"/>
        </w:rPr>
        <w:t>1</w:t>
      </w:r>
      <w:r w:rsidRPr="0068548C">
        <w:rPr>
          <w:rFonts w:ascii="Book Antiqua" w:eastAsia="Times New Roman" w:hAnsi="Book Antiqua" w:cs="Arial"/>
          <w:sz w:val="16"/>
          <w:szCs w:val="16"/>
        </w:rPr>
        <w:t>=Constant, 6.0 volume-percent hydrogen.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=Constant, 3.9(m/sec)/volume-percent hydrogen.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w:t>
      </w:r>
      <w:r w:rsidRPr="0068548C">
        <w:rPr>
          <w:rFonts w:ascii="Book Antiqua" w:eastAsia="Times New Roman" w:hAnsi="Book Antiqua" w:cs="Arial"/>
          <w:sz w:val="16"/>
          <w:szCs w:val="16"/>
          <w:vertAlign w:val="subscript"/>
        </w:rPr>
        <w:t>H2</w:t>
      </w:r>
      <w:r w:rsidRPr="0068548C">
        <w:rPr>
          <w:rFonts w:ascii="Book Antiqua" w:eastAsia="Times New Roman" w:hAnsi="Book Antiqua" w:cs="Arial"/>
          <w:sz w:val="16"/>
          <w:szCs w:val="16"/>
        </w:rPr>
        <w:t>=The volume-percent of hydrogen, on a wet basis, as calculated by using the American Society for Testing and Materials (ASTM) Method D1946–77. (Incorporated by reference as specified in §60.17).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The actual exit velocity of a flare shall be determined by the method specified in paragraph (f)(4)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Steam-assisted and nonassisted flares designed for and operated with an exit velocity, as determined by the methods specified in paragraph (f)(4), less than the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as determined by the method specified in paragraph (f)(5), and less than 122 m/sec (400 ft/sec) are allowed.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Air-assisted flares shall be designed and operated with an exit velocity less than the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as determined by the method specified in paragraph (f)(6).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Flares used to comply with this section shall be steam-assisted, air-assisted, or nonassisted.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Flares used to comply with provisions of this subpart shall be operated at all times when emissions may be vented to them.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(f)(1) Method 22 of appendix A to this part shall be used to determine the compliance of flares with the visible emission provisions of this subpart. The observation period is 2 hours and shall be used according to Method 22.</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(2) The presence of a flare pilot flame shall be monitored using a thermocouple or any other equivalent device to detect the presence of a flame.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net heating value of the gas being combusted in a flare shall be calculated using the following equation:</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noProof/>
          <w:sz w:val="16"/>
          <w:szCs w:val="16"/>
        </w:rPr>
        <w:drawing>
          <wp:inline distT="0" distB="0" distL="0" distR="0">
            <wp:extent cx="1091565" cy="293370"/>
            <wp:effectExtent l="19050" t="0" r="0"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15" cstate="print"/>
                    <a:srcRect/>
                    <a:stretch>
                      <a:fillRect/>
                    </a:stretch>
                  </pic:blipFill>
                  <pic:spPr bwMode="auto">
                    <a:xfrm>
                      <a:off x="0" y="0"/>
                      <a:ext cx="1091565" cy="293370"/>
                    </a:xfrm>
                    <a:prstGeom prst="rect">
                      <a:avLst/>
                    </a:prstGeom>
                    <a:noFill/>
                    <a:ln w="9525">
                      <a:noFill/>
                      <a:miter lim="800000"/>
                      <a:headEnd/>
                      <a:tailEnd/>
                    </a:ln>
                  </pic:spPr>
                </pic:pic>
              </a:graphicData>
            </a:graphic>
          </wp:inline>
        </w:drawing>
      </w:r>
    </w:p>
    <w:p w:rsidR="0068548C" w:rsidRPr="0068548C" w:rsidRDefault="00A11830" w:rsidP="0068548C">
      <w:pPr>
        <w:spacing w:before="100" w:beforeAutospacing="1" w:after="100" w:afterAutospacing="1" w:line="240" w:lineRule="auto"/>
        <w:rPr>
          <w:rFonts w:ascii="Book Antiqua" w:eastAsia="Times New Roman" w:hAnsi="Book Antiqua" w:cs="Times New Roman"/>
          <w:sz w:val="16"/>
          <w:szCs w:val="16"/>
        </w:rPr>
      </w:pPr>
      <w:hyperlink r:id="rId16" w:history="1">
        <w:r w:rsidR="0068548C" w:rsidRPr="0068548C">
          <w:rPr>
            <w:rFonts w:ascii="Book Antiqua" w:eastAsia="Times New Roman" w:hAnsi="Book Antiqua" w:cs="Arial"/>
            <w:color w:val="0000FF"/>
            <w:sz w:val="16"/>
            <w:szCs w:val="16"/>
            <w:u w:val="single"/>
          </w:rPr>
          <w:t>View or download PDF</w:t>
        </w:r>
      </w:hyperlink>
      <w:r w:rsidR="0068548C" w:rsidRPr="0068548C">
        <w:rPr>
          <w:rFonts w:ascii="Book Antiqua" w:eastAsia="Times New Roman" w:hAnsi="Book Antiqua" w:cs="Arial"/>
          <w:sz w:val="16"/>
          <w:szCs w:val="16"/>
        </w:rPr>
        <w:t xml:space="preserve">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=Net heating value of the sample, MJ/scm; where the net enthalpy per mole of offgas is based on combustion at 25 °C and 760 mm Hg, but the standard temperature for determining the volume corresponding to one mole is 20 °C;</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noProof/>
          <w:sz w:val="16"/>
          <w:szCs w:val="16"/>
        </w:rPr>
        <w:drawing>
          <wp:inline distT="0" distB="0" distL="0" distR="0">
            <wp:extent cx="3384550" cy="579755"/>
            <wp:effectExtent l="19050" t="0" r="6350"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17" cstate="print"/>
                    <a:srcRect/>
                    <a:stretch>
                      <a:fillRect/>
                    </a:stretch>
                  </pic:blipFill>
                  <pic:spPr bwMode="auto">
                    <a:xfrm>
                      <a:off x="0" y="0"/>
                      <a:ext cx="3384550" cy="579755"/>
                    </a:xfrm>
                    <a:prstGeom prst="rect">
                      <a:avLst/>
                    </a:prstGeom>
                    <a:noFill/>
                    <a:ln w="9525">
                      <a:noFill/>
                      <a:miter lim="800000"/>
                      <a:headEnd/>
                      <a:tailEnd/>
                    </a:ln>
                  </pic:spPr>
                </pic:pic>
              </a:graphicData>
            </a:graphic>
          </wp:inline>
        </w:drawing>
      </w:r>
    </w:p>
    <w:p w:rsidR="0068548C" w:rsidRPr="0068548C" w:rsidRDefault="00A11830" w:rsidP="0068548C">
      <w:pPr>
        <w:spacing w:before="100" w:beforeAutospacing="1" w:after="100" w:afterAutospacing="1" w:line="240" w:lineRule="auto"/>
        <w:rPr>
          <w:rFonts w:ascii="Book Antiqua" w:eastAsia="Times New Roman" w:hAnsi="Book Antiqua" w:cs="Times New Roman"/>
          <w:sz w:val="16"/>
          <w:szCs w:val="16"/>
        </w:rPr>
      </w:pPr>
      <w:hyperlink r:id="rId18" w:history="1">
        <w:r w:rsidR="0068548C" w:rsidRPr="0068548C">
          <w:rPr>
            <w:rFonts w:ascii="Book Antiqua" w:eastAsia="Times New Roman" w:hAnsi="Book Antiqua" w:cs="Arial"/>
            <w:color w:val="0000FF"/>
            <w:sz w:val="16"/>
            <w:szCs w:val="16"/>
            <w:u w:val="single"/>
          </w:rPr>
          <w:t>View or download PDF</w:t>
        </w:r>
      </w:hyperlink>
      <w:r w:rsidR="0068548C" w:rsidRPr="0068548C">
        <w:rPr>
          <w:rFonts w:ascii="Book Antiqua" w:eastAsia="Times New Roman" w:hAnsi="Book Antiqua" w:cs="Arial"/>
          <w:sz w:val="16"/>
          <w:szCs w:val="16"/>
        </w:rPr>
        <w:t xml:space="preserve">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w:t>
      </w:r>
      <w:r w:rsidRPr="0068548C">
        <w:rPr>
          <w:rFonts w:ascii="Book Antiqua" w:eastAsia="Times New Roman" w:hAnsi="Book Antiqua" w:cs="Arial"/>
          <w:sz w:val="16"/>
          <w:szCs w:val="16"/>
          <w:vertAlign w:val="subscript"/>
        </w:rPr>
        <w:t>i</w:t>
      </w:r>
      <w:r w:rsidRPr="0068548C">
        <w:rPr>
          <w:rFonts w:ascii="Book Antiqua" w:eastAsia="Times New Roman" w:hAnsi="Book Antiqua" w:cs="Arial"/>
          <w:sz w:val="16"/>
          <w:szCs w:val="16"/>
        </w:rPr>
        <w:t>=Concentration of sample component i in ppm on a wet basis, as measured for organics by Reference Method 18 and measured for hydrogen and carbon monoxide by ASTM D1946–77 or 90 (Reapproved 1994) (Incorporated by reference as specified in §60.17);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i</w:t>
      </w:r>
      <w:r w:rsidRPr="0068548C">
        <w:rPr>
          <w:rFonts w:ascii="Book Antiqua" w:eastAsia="Times New Roman" w:hAnsi="Book Antiqua" w:cs="Arial"/>
          <w:sz w:val="16"/>
          <w:szCs w:val="16"/>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The maximum permitted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for flares complying with paragraph (c)(4)(iii) shall be determined by the following equation.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Log</w:t>
      </w:r>
      <w:r w:rsidRPr="0068548C">
        <w:rPr>
          <w:rFonts w:ascii="Book Antiqua" w:eastAsia="Times New Roman" w:hAnsi="Book Antiqua" w:cs="Arial"/>
          <w:sz w:val="16"/>
          <w:szCs w:val="16"/>
          <w:vertAlign w:val="subscript"/>
        </w:rPr>
        <w:t>10</w:t>
      </w: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+28.8)/31.7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=Maximum permitted velocity, M/sec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28.8=Constant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31.7=Constant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=The net heating value as determined in paragraph (f)(3).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The maximum permitted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for air-assisted flares shall be determined by the following equation.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=8.706+0.7084 (H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=Maximum permitted velocity, m/sec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8.706=Constant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0.7084=Constant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=The net heating value as determined in paragraph (f)(3).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(g) </w:t>
      </w:r>
      <w:r w:rsidRPr="0068548C">
        <w:rPr>
          <w:rFonts w:ascii="Book Antiqua" w:eastAsia="Times New Roman" w:hAnsi="Book Antiqua" w:cs="Arial"/>
          <w:i/>
          <w:iCs/>
          <w:sz w:val="16"/>
          <w:szCs w:val="16"/>
        </w:rPr>
        <w:t xml:space="preserve">Alternative work practice for monitoring equipment for leaks. </w:t>
      </w:r>
      <w:r w:rsidRPr="0068548C">
        <w:rPr>
          <w:rFonts w:ascii="Book Antiqua" w:eastAsia="Times New Roman" w:hAnsi="Book Antiqua" w:cs="Arial"/>
          <w:sz w:val="16"/>
          <w:szCs w:val="16"/>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(1) </w:t>
      </w:r>
      <w:r w:rsidRPr="0068548C">
        <w:rPr>
          <w:rFonts w:ascii="Book Antiqua" w:eastAsia="Times New Roman" w:hAnsi="Book Antiqua" w:cs="Arial"/>
          <w:i/>
          <w:iCs/>
          <w:sz w:val="16"/>
          <w:szCs w:val="16"/>
        </w:rPr>
        <w:t xml:space="preserve">Applicable subpart </w:t>
      </w:r>
      <w:r w:rsidRPr="0068548C">
        <w:rPr>
          <w:rFonts w:ascii="Book Antiqua" w:eastAsia="Times New Roman" w:hAnsi="Book Antiqua" w:cs="Arial"/>
          <w:sz w:val="16"/>
          <w:szCs w:val="16"/>
        </w:rPr>
        <w:t>means the subpart in 40 CFR parts 60, 61, 63, or 65 that requires monitoring of equipment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(2) </w:t>
      </w:r>
      <w:r w:rsidRPr="0068548C">
        <w:rPr>
          <w:rFonts w:ascii="Book Antiqua" w:eastAsia="Times New Roman" w:hAnsi="Book Antiqua" w:cs="Arial"/>
          <w:i/>
          <w:iCs/>
          <w:sz w:val="16"/>
          <w:szCs w:val="16"/>
        </w:rPr>
        <w:t xml:space="preserve">Equipment </w:t>
      </w:r>
      <w:r w:rsidRPr="0068548C">
        <w:rPr>
          <w:rFonts w:ascii="Book Antiqua" w:eastAsia="Times New Roman" w:hAnsi="Book Antiqua" w:cs="Arial"/>
          <w:sz w:val="16"/>
          <w:szCs w:val="16"/>
        </w:rPr>
        <w:t>means pumps, valves, pressure relief valves, compressors, open-ended lines, flanges, connectors, and other equipment covered by the applicable subpart that require monitoring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(3) </w:t>
      </w:r>
      <w:r w:rsidRPr="0068548C">
        <w:rPr>
          <w:rFonts w:ascii="Book Antiqua" w:eastAsia="Times New Roman" w:hAnsi="Book Antiqua" w:cs="Arial"/>
          <w:i/>
          <w:iCs/>
          <w:sz w:val="16"/>
          <w:szCs w:val="16"/>
        </w:rPr>
        <w:t xml:space="preserve">Imaging </w:t>
      </w:r>
      <w:r w:rsidRPr="0068548C">
        <w:rPr>
          <w:rFonts w:ascii="Book Antiqua" w:eastAsia="Times New Roman" w:hAnsi="Book Antiqua" w:cs="Arial"/>
          <w:sz w:val="16"/>
          <w:szCs w:val="16"/>
        </w:rPr>
        <w:t>means making visible emissions that may otherwise be invisible to the naked eye.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(4) </w:t>
      </w:r>
      <w:r w:rsidRPr="0068548C">
        <w:rPr>
          <w:rFonts w:ascii="Book Antiqua" w:eastAsia="Times New Roman" w:hAnsi="Book Antiqua" w:cs="Arial"/>
          <w:i/>
          <w:iCs/>
          <w:sz w:val="16"/>
          <w:szCs w:val="16"/>
        </w:rPr>
        <w:t xml:space="preserve">Optical gas imaging instrument </w:t>
      </w:r>
      <w:r w:rsidRPr="0068548C">
        <w:rPr>
          <w:rFonts w:ascii="Book Antiqua" w:eastAsia="Times New Roman" w:hAnsi="Book Antiqua" w:cs="Arial"/>
          <w:sz w:val="16"/>
          <w:szCs w:val="16"/>
        </w:rPr>
        <w:t>means an instrument that makes visible emissions that may otherwise be invisible to the naked eye.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(5) </w:t>
      </w:r>
      <w:r w:rsidRPr="0068548C">
        <w:rPr>
          <w:rFonts w:ascii="Book Antiqua" w:eastAsia="Times New Roman" w:hAnsi="Book Antiqua" w:cs="Arial"/>
          <w:i/>
          <w:iCs/>
          <w:sz w:val="16"/>
          <w:szCs w:val="16"/>
        </w:rPr>
        <w:t xml:space="preserve">Repair </w:t>
      </w:r>
      <w:r w:rsidRPr="0068548C">
        <w:rPr>
          <w:rFonts w:ascii="Book Antiqua" w:eastAsia="Times New Roman" w:hAnsi="Book Antiqua" w:cs="Arial"/>
          <w:sz w:val="16"/>
          <w:szCs w:val="16"/>
        </w:rPr>
        <w:t>means that equipment is adjusted, or otherwise altered, in order to eliminate a leak.</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(6) </w:t>
      </w:r>
      <w:r w:rsidRPr="0068548C">
        <w:rPr>
          <w:rFonts w:ascii="Book Antiqua" w:eastAsia="Times New Roman" w:hAnsi="Book Antiqua" w:cs="Arial"/>
          <w:i/>
          <w:iCs/>
          <w:sz w:val="16"/>
          <w:szCs w:val="16"/>
        </w:rPr>
        <w:t xml:space="preserve">Leak </w:t>
      </w:r>
      <w:r w:rsidRPr="0068548C">
        <w:rPr>
          <w:rFonts w:ascii="Book Antiqua" w:eastAsia="Times New Roman" w:hAnsi="Book Antiqua" w:cs="Arial"/>
          <w:sz w:val="16"/>
          <w:szCs w:val="16"/>
        </w:rPr>
        <w:t>means: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Any emissions imaged by the optical gas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Indications of liquids dripping;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Indications by a sensor that a seal or barrier fluid system has failed;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Screening results using a 40 CFR part 60, Appendix A–7, Method 21 monitor that exceed the leak definition in the applicable subpart to which the equipment is subject.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The alternative work practice standard for monitoring equipment for leaks is available to all subparts in 40 CFR parts 60, 61, 63, and 65 that require monitoring of equipment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Any leak detected when following the leak survey procedure in paragraph (i)(3) of this section must be identified for repair as required in the applicable subpart.</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The schedule for repair is as required in the applicable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When this alternative work practice is used for detecting leaking equipment the following are not applicable for the equipment being monitored: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Skip period leak detection and repair;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Quality improvement plans;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Complying with standards for allowable percentage of valves and pumps to leak.</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An owner or operator of an affected source who chooses to use the alternative work practice must comply with the requirements of paragraphs (i)(1) through (i)(5)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Instrument Specifications. The optical gas imaging instrument must comply with the requirements in (i)(1)(i) and (i)(1)(ii)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Provide a date and time stamp for video records of every monitoring event.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Calculate the mass flow rate to be used in the daily instrument check by following the procedures in paragraphs (i)(2)(i)(A) and (i)(2)(i)(B)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73539"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noProof/>
          <w:sz w:val="16"/>
          <w:szCs w:val="16"/>
        </w:rPr>
        <w:drawing>
          <wp:inline distT="0" distB="0" distL="0" distR="0">
            <wp:extent cx="819150" cy="340995"/>
            <wp:effectExtent l="19050" t="0" r="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19" cstate="print"/>
                    <a:srcRect/>
                    <a:stretch>
                      <a:fillRect/>
                    </a:stretch>
                  </pic:blipFill>
                  <pic:spPr bwMode="auto">
                    <a:xfrm>
                      <a:off x="0" y="0"/>
                      <a:ext cx="819150" cy="340995"/>
                    </a:xfrm>
                    <a:prstGeom prst="rect">
                      <a:avLst/>
                    </a:prstGeom>
                    <a:noFill/>
                    <a:ln w="9525">
                      <a:noFill/>
                      <a:miter lim="800000"/>
                      <a:headEnd/>
                      <a:tailEnd/>
                    </a:ln>
                  </pic:spPr>
                </pic:pic>
              </a:graphicData>
            </a:graphic>
          </wp:inline>
        </w:drawing>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Where: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w:t>
      </w:r>
      <w:r w:rsidRPr="0068548C">
        <w:rPr>
          <w:rFonts w:ascii="Book Antiqua" w:eastAsia="Times New Roman" w:hAnsi="Book Antiqua" w:cs="Arial"/>
          <w:sz w:val="16"/>
          <w:szCs w:val="16"/>
          <w:vertAlign w:val="subscript"/>
        </w:rPr>
        <w:t>dic</w:t>
      </w:r>
      <w:r w:rsidRPr="0068548C">
        <w:rPr>
          <w:rFonts w:ascii="Book Antiqua" w:eastAsia="Times New Roman" w:hAnsi="Book Antiqua" w:cs="Arial"/>
          <w:sz w:val="16"/>
          <w:szCs w:val="16"/>
        </w:rPr>
        <w:t>= Mass flow rate for the daily instrument check, grams per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w:t>
      </w:r>
      <w:r w:rsidRPr="0068548C">
        <w:rPr>
          <w:rFonts w:ascii="Book Antiqua" w:eastAsia="Times New Roman" w:hAnsi="Book Antiqua" w:cs="Arial"/>
          <w:sz w:val="16"/>
          <w:szCs w:val="16"/>
          <w:vertAlign w:val="subscript"/>
        </w:rPr>
        <w:t>i</w:t>
      </w:r>
      <w:r w:rsidRPr="0068548C">
        <w:rPr>
          <w:rFonts w:ascii="Book Antiqua" w:eastAsia="Times New Roman" w:hAnsi="Book Antiqua" w:cs="Arial"/>
          <w:sz w:val="16"/>
          <w:szCs w:val="16"/>
        </w:rPr>
        <w:t>= Mass fraction of detectable chemical(s) i seen by the optical gas imaging instrument, within the distance to be used in paragraph (i)(2)(iv)(B) of this section, at or below the standard detection sensitivity level, E</w:t>
      </w:r>
      <w:r w:rsidRPr="0068548C">
        <w:rPr>
          <w:rFonts w:ascii="Book Antiqua" w:eastAsia="Times New Roman" w:hAnsi="Book Antiqua" w:cs="Arial"/>
          <w:sz w:val="16"/>
          <w:szCs w:val="16"/>
          <w:vertAlign w:val="subscript"/>
        </w:rPr>
        <w:t>sds</w:t>
      </w:r>
      <w:r w:rsidRPr="0068548C">
        <w:rPr>
          <w:rFonts w:ascii="Book Antiqua" w:eastAsia="Times New Roman" w:hAnsi="Book Antiqua" w:cs="Arial"/>
          <w:sz w:val="16"/>
          <w:szCs w:val="16"/>
        </w:rPr>
        <w: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w:t>
      </w:r>
      <w:r w:rsidRPr="0068548C">
        <w:rPr>
          <w:rFonts w:ascii="Book Antiqua" w:eastAsia="Times New Roman" w:hAnsi="Book Antiqua" w:cs="Arial"/>
          <w:sz w:val="16"/>
          <w:szCs w:val="16"/>
          <w:vertAlign w:val="subscript"/>
        </w:rPr>
        <w:t>sds</w:t>
      </w:r>
      <w:r w:rsidRPr="0068548C">
        <w:rPr>
          <w:rFonts w:ascii="Book Antiqua" w:eastAsia="Times New Roman" w:hAnsi="Book Antiqua" w:cs="Arial"/>
          <w:sz w:val="16"/>
          <w:szCs w:val="16"/>
        </w:rPr>
        <w:t>= Standard detection sensitivity level from Table 1 to subpart A, grams per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 = Total number of detectable chemicals emitted from the leaking equipment and seen by the optical gas imaging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Start the optical gas imaging instrument according to the manufacturer's instructions, ensuring that all appropriate settings conform to the manufacturer's instructions.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Use any gas chosen by the user that can be viewed by the optical gas imaging instrument and that has a purity of no less than 98 percent.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Establish a mass flow rate by using the following procedures: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Provide a source of gas where it will be in the field of view of the optical gas imaging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Repeat the procedures specified in paragraphs (i)(2)(ii) through (i)(2)(iv) of this section for each configuration of the optical gas imaging instrument used during the leak survey.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To use an alternative method to demonstrate daily instrument checks, apply to the Administrator for approval of the alternative under §60.13(i).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Recordkeeping. You must keep the records described in paragraphs (i)(4)(i) through (i)(4)(vii)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The equipment, processes, and facilities for which the owner or operator chooses to use the alternative work practice.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The detection sensitivity level selected from Table 1 to subpart A of this part for the optical gas imaging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The analysis to determine the piece of equipment in contact with the lowest mass fraction of chemicals that are detectable, as specified in paragraph (i)(2)(i)(A) of this section.</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(iv) The technical basis for the mass fraction of detectable chemicals used in the equation in paragraph (i)(2)(i)(B)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(5) Reporting. Submit the reports required in the applicable subpart. Submit the records of the annual Method 21 screening required in paragraph (h)(7) of this section to the Administrator via e-mail to </w:t>
      </w:r>
      <w:r w:rsidRPr="0068548C">
        <w:rPr>
          <w:rFonts w:ascii="Book Antiqua" w:eastAsia="Times New Roman" w:hAnsi="Book Antiqua" w:cs="Arial"/>
          <w:i/>
          <w:iCs/>
          <w:sz w:val="16"/>
          <w:szCs w:val="16"/>
        </w:rPr>
        <w:t xml:space="preserve">CCG-AWP@EPA.GOV.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[51 FR 2701, Jan. 21, 1986, as amended at 63 FR 24444, May 4, 1998; 65 FR 61752, Oct. 17, 2000; 73 FR 78209, Dec. 22, 2008]</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60.19   General notification and reporting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For the purposes of this part, time periods specified in days shall be measured in calendar days, even if the word “calendar” is absent, unless otherwise specified in an applicable requirement.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lastRenderedPageBreak/>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(f)(1)(i) Until an adjustment of a time period or postmark deadline has been approved by the Administrator under paragraphs (f)(2) and (f)(3) of this section, the owner or operator of an affected facility remains strictly subject to the requirements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An owner or operator shall request the adjustment provided for in paragraphs (f)(2) and (f)(3) of this section each time he or she wishes to change an applicable time period or postmark deadline specified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If the Administrator is unable to meet a specified deadline, he or she will notify the owner or operator of any significant delay and inform the owner or operator of the amended schedule.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[59 FR 12428, Mar. 16, 1994, as amended at 64 FR 7463, Feb. 12, 1998]</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61"/>
        <w:gridCol w:w="402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Monitoring frequency per subpart</w:t>
            </w:r>
            <w:r w:rsidRPr="0068548C">
              <w:rPr>
                <w:rFonts w:ascii="Book Antiqua" w:eastAsia="Times New Roman" w:hAnsi="Book Antiqua" w:cs="Times New Roman"/>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Detection sensitivity level</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60</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85</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100</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a</w:t>
      </w:r>
      <w:r w:rsidRPr="0068548C">
        <w:rPr>
          <w:rFonts w:ascii="Book Antiqua" w:eastAsia="Times New Roman" w:hAnsi="Book Antiqua" w:cs="Arial"/>
          <w:sz w:val="16"/>
          <w:szCs w:val="16"/>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[73 FR 78211, Dec. 22, 2008]</w:t>
      </w:r>
    </w:p>
    <w:p w:rsidR="00E80176" w:rsidRDefault="00E80176"/>
    <w:sectPr w:rsidR="00E80176" w:rsidSect="008162E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A22" w:rsidRDefault="004B3A22" w:rsidP="004050D1">
      <w:pPr>
        <w:spacing w:after="0" w:line="240" w:lineRule="auto"/>
      </w:pPr>
      <w:r>
        <w:separator/>
      </w:r>
    </w:p>
  </w:endnote>
  <w:endnote w:type="continuationSeparator" w:id="0">
    <w:p w:rsidR="004B3A22" w:rsidRDefault="004B3A22" w:rsidP="004050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D9" w:rsidRDefault="002934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43688"/>
      <w:docPartObj>
        <w:docPartGallery w:val="Page Numbers (Bottom of Page)"/>
        <w:docPartUnique/>
      </w:docPartObj>
    </w:sdtPr>
    <w:sdtContent>
      <w:p w:rsidR="0083768B" w:rsidRDefault="00A11830">
        <w:pPr>
          <w:pStyle w:val="Footer"/>
          <w:jc w:val="center"/>
        </w:pPr>
        <w:fldSimple w:instr=" PAGE   \* MERGEFORMAT ">
          <w:r w:rsidR="002934D9">
            <w:rPr>
              <w:noProof/>
            </w:rPr>
            <w:t>1</w:t>
          </w:r>
        </w:fldSimple>
      </w:p>
    </w:sdtContent>
  </w:sdt>
  <w:p w:rsidR="0083768B" w:rsidRDefault="0083768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D9" w:rsidRDefault="002934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A22" w:rsidRDefault="004B3A22" w:rsidP="004050D1">
      <w:pPr>
        <w:spacing w:after="0" w:line="240" w:lineRule="auto"/>
      </w:pPr>
      <w:r>
        <w:separator/>
      </w:r>
    </w:p>
  </w:footnote>
  <w:footnote w:type="continuationSeparator" w:id="0">
    <w:p w:rsidR="004B3A22" w:rsidRDefault="004B3A22" w:rsidP="004050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D9" w:rsidRDefault="002934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8B" w:rsidRPr="0068548C" w:rsidRDefault="0083768B" w:rsidP="0083768B">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Subpart A—General Provisions</w:t>
    </w:r>
  </w:p>
  <w:p w:rsidR="0083768B" w:rsidRDefault="008376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8B" w:rsidRPr="0068548C" w:rsidRDefault="0083768B" w:rsidP="008162E0">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Subpart A—General Provisions</w:t>
    </w:r>
  </w:p>
  <w:p w:rsidR="0083768B" w:rsidRDefault="00837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defaultTabStop w:val="720"/>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68548C"/>
    <w:rsid w:val="002934D9"/>
    <w:rsid w:val="004050D1"/>
    <w:rsid w:val="004B3A22"/>
    <w:rsid w:val="0068548C"/>
    <w:rsid w:val="00773539"/>
    <w:rsid w:val="008162E0"/>
    <w:rsid w:val="0083768B"/>
    <w:rsid w:val="00A11830"/>
    <w:rsid w:val="00E54347"/>
    <w:rsid w:val="00E801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176"/>
  </w:style>
  <w:style w:type="paragraph" w:styleId="Heading5">
    <w:name w:val="heading 5"/>
    <w:basedOn w:val="Normal"/>
    <w:link w:val="Heading5Char"/>
    <w:uiPriority w:val="9"/>
    <w:qFormat/>
    <w:rsid w:val="0068548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8548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854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48C"/>
    <w:rPr>
      <w:rFonts w:ascii="Tahoma" w:hAnsi="Tahoma" w:cs="Tahoma"/>
      <w:sz w:val="16"/>
      <w:szCs w:val="16"/>
    </w:rPr>
  </w:style>
  <w:style w:type="paragraph" w:styleId="Header">
    <w:name w:val="header"/>
    <w:basedOn w:val="Normal"/>
    <w:link w:val="HeaderChar"/>
    <w:uiPriority w:val="99"/>
    <w:unhideWhenUsed/>
    <w:rsid w:val="004050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0D1"/>
  </w:style>
  <w:style w:type="paragraph" w:styleId="Footer">
    <w:name w:val="footer"/>
    <w:basedOn w:val="Normal"/>
    <w:link w:val="FooterChar"/>
    <w:uiPriority w:val="99"/>
    <w:unhideWhenUsed/>
    <w:rsid w:val="004050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0D1"/>
  </w:style>
</w:styles>
</file>

<file path=word/webSettings.xml><?xml version="1.0" encoding="utf-8"?>
<w:webSettings xmlns:r="http://schemas.openxmlformats.org/officeDocument/2006/relationships" xmlns:w="http://schemas.openxmlformats.org/wordprocessingml/2006/main">
  <w:divs>
    <w:div w:id="1410229726">
      <w:bodyDiv w:val="1"/>
      <w:marLeft w:val="0"/>
      <w:marRight w:val="0"/>
      <w:marTop w:val="0"/>
      <w:marBottom w:val="0"/>
      <w:divBdr>
        <w:top w:val="none" w:sz="0" w:space="0" w:color="auto"/>
        <w:left w:val="none" w:sz="0" w:space="0" w:color="auto"/>
        <w:bottom w:val="none" w:sz="0" w:space="0" w:color="auto"/>
        <w:right w:val="none" w:sz="0" w:space="0" w:color="auto"/>
      </w:divBdr>
      <w:divsChild>
        <w:div w:id="1600674843">
          <w:marLeft w:val="0"/>
          <w:marRight w:val="0"/>
          <w:marTop w:val="0"/>
          <w:marBottom w:val="0"/>
          <w:divBdr>
            <w:top w:val="none" w:sz="0" w:space="0" w:color="auto"/>
            <w:left w:val="none" w:sz="0" w:space="0" w:color="auto"/>
            <w:bottom w:val="none" w:sz="0" w:space="0" w:color="auto"/>
            <w:right w:val="none" w:sz="0" w:space="0" w:color="auto"/>
          </w:divBdr>
          <w:divsChild>
            <w:div w:id="173168539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65092551">
          <w:marLeft w:val="0"/>
          <w:marRight w:val="0"/>
          <w:marTop w:val="0"/>
          <w:marBottom w:val="0"/>
          <w:divBdr>
            <w:top w:val="none" w:sz="0" w:space="0" w:color="auto"/>
            <w:left w:val="none" w:sz="0" w:space="0" w:color="auto"/>
            <w:bottom w:val="none" w:sz="0" w:space="0" w:color="auto"/>
            <w:right w:val="none" w:sz="0" w:space="0" w:color="auto"/>
          </w:divBdr>
          <w:divsChild>
            <w:div w:id="177932668">
              <w:marLeft w:val="0"/>
              <w:marRight w:val="0"/>
              <w:marTop w:val="0"/>
              <w:marBottom w:val="0"/>
              <w:divBdr>
                <w:top w:val="none" w:sz="0" w:space="0" w:color="auto"/>
                <w:left w:val="none" w:sz="0" w:space="0" w:color="auto"/>
                <w:bottom w:val="none" w:sz="0" w:space="0" w:color="auto"/>
                <w:right w:val="none" w:sz="0" w:space="0" w:color="auto"/>
              </w:divBdr>
            </w:div>
            <w:div w:id="1932661565">
              <w:marLeft w:val="0"/>
              <w:marRight w:val="0"/>
              <w:marTop w:val="0"/>
              <w:marBottom w:val="0"/>
              <w:divBdr>
                <w:top w:val="single" w:sz="8" w:space="0" w:color="000000"/>
                <w:left w:val="single" w:sz="8" w:space="0" w:color="000000"/>
                <w:bottom w:val="single" w:sz="8" w:space="0" w:color="000000"/>
                <w:right w:val="single" w:sz="8" w:space="0" w:color="000000"/>
              </w:divBdr>
            </w:div>
            <w:div w:id="481435019">
              <w:marLeft w:val="0"/>
              <w:marRight w:val="0"/>
              <w:marTop w:val="0"/>
              <w:marBottom w:val="0"/>
              <w:divBdr>
                <w:top w:val="none" w:sz="0" w:space="0" w:color="auto"/>
                <w:left w:val="none" w:sz="0" w:space="0" w:color="auto"/>
                <w:bottom w:val="none" w:sz="0" w:space="0" w:color="auto"/>
                <w:right w:val="none" w:sz="0" w:space="0" w:color="auto"/>
              </w:divBdr>
            </w:div>
          </w:divsChild>
        </w:div>
        <w:div w:id="864975888">
          <w:marLeft w:val="0"/>
          <w:marRight w:val="0"/>
          <w:marTop w:val="0"/>
          <w:marBottom w:val="0"/>
          <w:divBdr>
            <w:top w:val="none" w:sz="0" w:space="0" w:color="auto"/>
            <w:left w:val="none" w:sz="0" w:space="0" w:color="auto"/>
            <w:bottom w:val="none" w:sz="0" w:space="0" w:color="auto"/>
            <w:right w:val="none" w:sz="0" w:space="0" w:color="auto"/>
          </w:divBdr>
          <w:divsChild>
            <w:div w:id="581064700">
              <w:marLeft w:val="0"/>
              <w:marRight w:val="0"/>
              <w:marTop w:val="0"/>
              <w:marBottom w:val="0"/>
              <w:divBdr>
                <w:top w:val="none" w:sz="0" w:space="0" w:color="auto"/>
                <w:left w:val="none" w:sz="0" w:space="0" w:color="auto"/>
                <w:bottom w:val="none" w:sz="0" w:space="0" w:color="auto"/>
                <w:right w:val="none" w:sz="0" w:space="0" w:color="auto"/>
              </w:divBdr>
            </w:div>
            <w:div w:id="2068986223">
              <w:marLeft w:val="0"/>
              <w:marRight w:val="0"/>
              <w:marTop w:val="0"/>
              <w:marBottom w:val="0"/>
              <w:divBdr>
                <w:top w:val="single" w:sz="8" w:space="0" w:color="000000"/>
                <w:left w:val="single" w:sz="8" w:space="0" w:color="000000"/>
                <w:bottom w:val="single" w:sz="8" w:space="0" w:color="000000"/>
                <w:right w:val="single" w:sz="8" w:space="0" w:color="000000"/>
              </w:divBdr>
            </w:div>
            <w:div w:id="1601983498">
              <w:marLeft w:val="0"/>
              <w:marRight w:val="0"/>
              <w:marTop w:val="0"/>
              <w:marBottom w:val="0"/>
              <w:divBdr>
                <w:top w:val="none" w:sz="0" w:space="0" w:color="auto"/>
                <w:left w:val="none" w:sz="0" w:space="0" w:color="auto"/>
                <w:bottom w:val="none" w:sz="0" w:space="0" w:color="auto"/>
                <w:right w:val="none" w:sz="0" w:space="0" w:color="auto"/>
              </w:divBdr>
            </w:div>
          </w:divsChild>
        </w:div>
        <w:div w:id="135530602">
          <w:marLeft w:val="0"/>
          <w:marRight w:val="0"/>
          <w:marTop w:val="0"/>
          <w:marBottom w:val="0"/>
          <w:divBdr>
            <w:top w:val="none" w:sz="0" w:space="0" w:color="auto"/>
            <w:left w:val="none" w:sz="0" w:space="0" w:color="auto"/>
            <w:bottom w:val="none" w:sz="0" w:space="0" w:color="auto"/>
            <w:right w:val="none" w:sz="0" w:space="0" w:color="auto"/>
          </w:divBdr>
          <w:divsChild>
            <w:div w:id="242110320">
              <w:marLeft w:val="0"/>
              <w:marRight w:val="0"/>
              <w:marTop w:val="0"/>
              <w:marBottom w:val="0"/>
              <w:divBdr>
                <w:top w:val="none" w:sz="0" w:space="0" w:color="auto"/>
                <w:left w:val="none" w:sz="0" w:space="0" w:color="auto"/>
                <w:bottom w:val="none" w:sz="0" w:space="0" w:color="auto"/>
                <w:right w:val="none" w:sz="0" w:space="0" w:color="auto"/>
              </w:divBdr>
            </w:div>
            <w:div w:id="34297989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901283133">
          <w:marLeft w:val="0"/>
          <w:marRight w:val="0"/>
          <w:marTop w:val="0"/>
          <w:marBottom w:val="0"/>
          <w:divBdr>
            <w:top w:val="none" w:sz="0" w:space="0" w:color="auto"/>
            <w:left w:val="none" w:sz="0" w:space="0" w:color="auto"/>
            <w:bottom w:val="none" w:sz="0" w:space="0" w:color="auto"/>
            <w:right w:val="none" w:sz="0" w:space="0" w:color="auto"/>
          </w:divBdr>
          <w:divsChild>
            <w:div w:id="1443378066">
              <w:marLeft w:val="0"/>
              <w:marRight w:val="0"/>
              <w:marTop w:val="0"/>
              <w:marBottom w:val="0"/>
              <w:divBdr>
                <w:top w:val="none" w:sz="0" w:space="0" w:color="auto"/>
                <w:left w:val="none" w:sz="0" w:space="0" w:color="auto"/>
                <w:bottom w:val="none" w:sz="0" w:space="0" w:color="auto"/>
                <w:right w:val="none" w:sz="0" w:space="0" w:color="auto"/>
              </w:divBdr>
            </w:div>
            <w:div w:id="23652075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128663298">
          <w:marLeft w:val="0"/>
          <w:marRight w:val="0"/>
          <w:marTop w:val="0"/>
          <w:marBottom w:val="0"/>
          <w:divBdr>
            <w:top w:val="none" w:sz="0" w:space="0" w:color="auto"/>
            <w:left w:val="none" w:sz="0" w:space="0" w:color="auto"/>
            <w:bottom w:val="none" w:sz="0" w:space="0" w:color="auto"/>
            <w:right w:val="none" w:sz="0" w:space="0" w:color="auto"/>
          </w:divBdr>
          <w:divsChild>
            <w:div w:id="370959088">
              <w:marLeft w:val="0"/>
              <w:marRight w:val="0"/>
              <w:marTop w:val="0"/>
              <w:marBottom w:val="0"/>
              <w:divBdr>
                <w:top w:val="none" w:sz="0" w:space="0" w:color="auto"/>
                <w:left w:val="none" w:sz="0" w:space="0" w:color="auto"/>
                <w:bottom w:val="none" w:sz="0" w:space="0" w:color="auto"/>
                <w:right w:val="none" w:sz="0" w:space="0" w:color="auto"/>
              </w:divBdr>
            </w:div>
            <w:div w:id="68698078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71626153">
          <w:marLeft w:val="0"/>
          <w:marRight w:val="0"/>
          <w:marTop w:val="0"/>
          <w:marBottom w:val="0"/>
          <w:divBdr>
            <w:top w:val="none" w:sz="0" w:space="0" w:color="auto"/>
            <w:left w:val="none" w:sz="0" w:space="0" w:color="auto"/>
            <w:bottom w:val="none" w:sz="0" w:space="0" w:color="auto"/>
            <w:right w:val="none" w:sz="0" w:space="0" w:color="auto"/>
          </w:divBdr>
          <w:divsChild>
            <w:div w:id="755980477">
              <w:marLeft w:val="0"/>
              <w:marRight w:val="0"/>
              <w:marTop w:val="0"/>
              <w:marBottom w:val="0"/>
              <w:divBdr>
                <w:top w:val="none" w:sz="0" w:space="0" w:color="auto"/>
                <w:left w:val="none" w:sz="0" w:space="0" w:color="auto"/>
                <w:bottom w:val="none" w:sz="0" w:space="0" w:color="auto"/>
                <w:right w:val="none" w:sz="0" w:space="0" w:color="auto"/>
              </w:divBdr>
            </w:div>
            <w:div w:id="173265274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904870212">
          <w:marLeft w:val="0"/>
          <w:marRight w:val="0"/>
          <w:marTop w:val="0"/>
          <w:marBottom w:val="0"/>
          <w:divBdr>
            <w:top w:val="none" w:sz="0" w:space="0" w:color="auto"/>
            <w:left w:val="none" w:sz="0" w:space="0" w:color="auto"/>
            <w:bottom w:val="none" w:sz="0" w:space="0" w:color="auto"/>
            <w:right w:val="none" w:sz="0" w:space="0" w:color="auto"/>
          </w:divBdr>
          <w:divsChild>
            <w:div w:id="1705983514">
              <w:marLeft w:val="0"/>
              <w:marRight w:val="0"/>
              <w:marTop w:val="0"/>
              <w:marBottom w:val="0"/>
              <w:divBdr>
                <w:top w:val="none" w:sz="0" w:space="0" w:color="auto"/>
                <w:left w:val="none" w:sz="0" w:space="0" w:color="auto"/>
                <w:bottom w:val="none" w:sz="0" w:space="0" w:color="auto"/>
                <w:right w:val="none" w:sz="0" w:space="0" w:color="auto"/>
              </w:divBdr>
            </w:div>
            <w:div w:id="206478799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09812475">
          <w:marLeft w:val="0"/>
          <w:marRight w:val="0"/>
          <w:marTop w:val="0"/>
          <w:marBottom w:val="0"/>
          <w:divBdr>
            <w:top w:val="none" w:sz="0" w:space="0" w:color="auto"/>
            <w:left w:val="none" w:sz="0" w:space="0" w:color="auto"/>
            <w:bottom w:val="none" w:sz="0" w:space="0" w:color="auto"/>
            <w:right w:val="none" w:sz="0" w:space="0" w:color="auto"/>
          </w:divBdr>
          <w:divsChild>
            <w:div w:id="1124614126">
              <w:marLeft w:val="0"/>
              <w:marRight w:val="0"/>
              <w:marTop w:val="0"/>
              <w:marBottom w:val="0"/>
              <w:divBdr>
                <w:top w:val="none" w:sz="0" w:space="0" w:color="auto"/>
                <w:left w:val="none" w:sz="0" w:space="0" w:color="auto"/>
                <w:bottom w:val="none" w:sz="0" w:space="0" w:color="auto"/>
                <w:right w:val="none" w:sz="0" w:space="0" w:color="auto"/>
              </w:divBdr>
            </w:div>
            <w:div w:id="49133195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589802660">
          <w:marLeft w:val="0"/>
          <w:marRight w:val="0"/>
          <w:marTop w:val="0"/>
          <w:marBottom w:val="0"/>
          <w:divBdr>
            <w:top w:val="none" w:sz="0" w:space="0" w:color="auto"/>
            <w:left w:val="none" w:sz="0" w:space="0" w:color="auto"/>
            <w:bottom w:val="none" w:sz="0" w:space="0" w:color="auto"/>
            <w:right w:val="none" w:sz="0" w:space="0" w:color="auto"/>
          </w:divBdr>
          <w:divsChild>
            <w:div w:id="1934972096">
              <w:marLeft w:val="0"/>
              <w:marRight w:val="0"/>
              <w:marTop w:val="0"/>
              <w:marBottom w:val="0"/>
              <w:divBdr>
                <w:top w:val="none" w:sz="0" w:space="0" w:color="auto"/>
                <w:left w:val="none" w:sz="0" w:space="0" w:color="auto"/>
                <w:bottom w:val="none" w:sz="0" w:space="0" w:color="auto"/>
                <w:right w:val="none" w:sz="0" w:space="0" w:color="auto"/>
              </w:divBdr>
            </w:div>
            <w:div w:id="17023653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29615807">
          <w:marLeft w:val="0"/>
          <w:marRight w:val="0"/>
          <w:marTop w:val="0"/>
          <w:marBottom w:val="0"/>
          <w:divBdr>
            <w:top w:val="none" w:sz="0" w:space="0" w:color="auto"/>
            <w:left w:val="none" w:sz="0" w:space="0" w:color="auto"/>
            <w:bottom w:val="none" w:sz="0" w:space="0" w:color="auto"/>
            <w:right w:val="none" w:sz="0" w:space="0" w:color="auto"/>
          </w:divBdr>
          <w:divsChild>
            <w:div w:id="658537648">
              <w:marLeft w:val="0"/>
              <w:marRight w:val="0"/>
              <w:marTop w:val="0"/>
              <w:marBottom w:val="0"/>
              <w:divBdr>
                <w:top w:val="none" w:sz="0" w:space="0" w:color="auto"/>
                <w:left w:val="none" w:sz="0" w:space="0" w:color="auto"/>
                <w:bottom w:val="none" w:sz="0" w:space="0" w:color="auto"/>
                <w:right w:val="none" w:sz="0" w:space="0" w:color="auto"/>
              </w:divBdr>
            </w:div>
            <w:div w:id="1449304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15099327">
          <w:marLeft w:val="0"/>
          <w:marRight w:val="0"/>
          <w:marTop w:val="0"/>
          <w:marBottom w:val="0"/>
          <w:divBdr>
            <w:top w:val="none" w:sz="0" w:space="0" w:color="auto"/>
            <w:left w:val="none" w:sz="0" w:space="0" w:color="auto"/>
            <w:bottom w:val="none" w:sz="0" w:space="0" w:color="auto"/>
            <w:right w:val="none" w:sz="0" w:space="0" w:color="auto"/>
          </w:divBdr>
          <w:divsChild>
            <w:div w:id="653877788">
              <w:marLeft w:val="0"/>
              <w:marRight w:val="0"/>
              <w:marTop w:val="0"/>
              <w:marBottom w:val="0"/>
              <w:divBdr>
                <w:top w:val="none" w:sz="0" w:space="0" w:color="auto"/>
                <w:left w:val="none" w:sz="0" w:space="0" w:color="auto"/>
                <w:bottom w:val="none" w:sz="0" w:space="0" w:color="auto"/>
                <w:right w:val="none" w:sz="0" w:space="0" w:color="auto"/>
              </w:divBdr>
            </w:div>
            <w:div w:id="188667865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0586507">
          <w:marLeft w:val="0"/>
          <w:marRight w:val="0"/>
          <w:marTop w:val="0"/>
          <w:marBottom w:val="0"/>
          <w:divBdr>
            <w:top w:val="none" w:sz="0" w:space="0" w:color="auto"/>
            <w:left w:val="none" w:sz="0" w:space="0" w:color="auto"/>
            <w:bottom w:val="none" w:sz="0" w:space="0" w:color="auto"/>
            <w:right w:val="none" w:sz="0" w:space="0" w:color="auto"/>
          </w:divBdr>
          <w:divsChild>
            <w:div w:id="1487553068">
              <w:marLeft w:val="0"/>
              <w:marRight w:val="0"/>
              <w:marTop w:val="0"/>
              <w:marBottom w:val="0"/>
              <w:divBdr>
                <w:top w:val="none" w:sz="0" w:space="0" w:color="auto"/>
                <w:left w:val="none" w:sz="0" w:space="0" w:color="auto"/>
                <w:bottom w:val="none" w:sz="0" w:space="0" w:color="auto"/>
                <w:right w:val="none" w:sz="0" w:space="0" w:color="auto"/>
              </w:divBdr>
            </w:div>
            <w:div w:id="56591397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666397654">
          <w:marLeft w:val="0"/>
          <w:marRight w:val="0"/>
          <w:marTop w:val="0"/>
          <w:marBottom w:val="0"/>
          <w:divBdr>
            <w:top w:val="none" w:sz="0" w:space="0" w:color="auto"/>
            <w:left w:val="none" w:sz="0" w:space="0" w:color="auto"/>
            <w:bottom w:val="none" w:sz="0" w:space="0" w:color="auto"/>
            <w:right w:val="none" w:sz="0" w:space="0" w:color="auto"/>
          </w:divBdr>
          <w:divsChild>
            <w:div w:id="705064004">
              <w:marLeft w:val="0"/>
              <w:marRight w:val="0"/>
              <w:marTop w:val="0"/>
              <w:marBottom w:val="0"/>
              <w:divBdr>
                <w:top w:val="none" w:sz="0" w:space="0" w:color="auto"/>
                <w:left w:val="none" w:sz="0" w:space="0" w:color="auto"/>
                <w:bottom w:val="none" w:sz="0" w:space="0" w:color="auto"/>
                <w:right w:val="none" w:sz="0" w:space="0" w:color="auto"/>
              </w:divBdr>
            </w:div>
            <w:div w:id="42962041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4358766">
          <w:marLeft w:val="0"/>
          <w:marRight w:val="0"/>
          <w:marTop w:val="0"/>
          <w:marBottom w:val="0"/>
          <w:divBdr>
            <w:top w:val="none" w:sz="0" w:space="0" w:color="auto"/>
            <w:left w:val="none" w:sz="0" w:space="0" w:color="auto"/>
            <w:bottom w:val="none" w:sz="0" w:space="0" w:color="auto"/>
            <w:right w:val="none" w:sz="0" w:space="0" w:color="auto"/>
          </w:divBdr>
          <w:divsChild>
            <w:div w:id="215822516">
              <w:marLeft w:val="0"/>
              <w:marRight w:val="0"/>
              <w:marTop w:val="0"/>
              <w:marBottom w:val="0"/>
              <w:divBdr>
                <w:top w:val="none" w:sz="0" w:space="0" w:color="auto"/>
                <w:left w:val="none" w:sz="0" w:space="0" w:color="auto"/>
                <w:bottom w:val="none" w:sz="0" w:space="0" w:color="auto"/>
                <w:right w:val="none" w:sz="0" w:space="0" w:color="auto"/>
              </w:divBdr>
            </w:div>
            <w:div w:id="195455082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304626656">
          <w:marLeft w:val="0"/>
          <w:marRight w:val="0"/>
          <w:marTop w:val="0"/>
          <w:marBottom w:val="0"/>
          <w:divBdr>
            <w:top w:val="none" w:sz="0" w:space="0" w:color="auto"/>
            <w:left w:val="none" w:sz="0" w:space="0" w:color="auto"/>
            <w:bottom w:val="none" w:sz="0" w:space="0" w:color="auto"/>
            <w:right w:val="none" w:sz="0" w:space="0" w:color="auto"/>
          </w:divBdr>
          <w:divsChild>
            <w:div w:id="1219123905">
              <w:marLeft w:val="0"/>
              <w:marRight w:val="0"/>
              <w:marTop w:val="0"/>
              <w:marBottom w:val="0"/>
              <w:divBdr>
                <w:top w:val="none" w:sz="0" w:space="0" w:color="auto"/>
                <w:left w:val="none" w:sz="0" w:space="0" w:color="auto"/>
                <w:bottom w:val="none" w:sz="0" w:space="0" w:color="auto"/>
                <w:right w:val="none" w:sz="0" w:space="0" w:color="auto"/>
              </w:divBdr>
            </w:div>
            <w:div w:id="964702979">
              <w:marLeft w:val="0"/>
              <w:marRight w:val="0"/>
              <w:marTop w:val="0"/>
              <w:marBottom w:val="0"/>
              <w:divBdr>
                <w:top w:val="single" w:sz="8" w:space="0" w:color="000000"/>
                <w:left w:val="single" w:sz="8" w:space="0" w:color="000000"/>
                <w:bottom w:val="single" w:sz="8" w:space="0" w:color="000000"/>
                <w:right w:val="single" w:sz="8" w:space="0" w:color="000000"/>
              </w:divBdr>
            </w:div>
            <w:div w:id="156465052">
              <w:marLeft w:val="0"/>
              <w:marRight w:val="0"/>
              <w:marTop w:val="0"/>
              <w:marBottom w:val="0"/>
              <w:divBdr>
                <w:top w:val="none" w:sz="0" w:space="0" w:color="auto"/>
                <w:left w:val="none" w:sz="0" w:space="0" w:color="auto"/>
                <w:bottom w:val="none" w:sz="0" w:space="0" w:color="auto"/>
                <w:right w:val="none" w:sz="0" w:space="0" w:color="auto"/>
              </w:divBdr>
            </w:div>
          </w:divsChild>
        </w:div>
        <w:div w:id="2122720627">
          <w:marLeft w:val="0"/>
          <w:marRight w:val="0"/>
          <w:marTop w:val="0"/>
          <w:marBottom w:val="0"/>
          <w:divBdr>
            <w:top w:val="none" w:sz="0" w:space="0" w:color="auto"/>
            <w:left w:val="none" w:sz="0" w:space="0" w:color="auto"/>
            <w:bottom w:val="none" w:sz="0" w:space="0" w:color="auto"/>
            <w:right w:val="none" w:sz="0" w:space="0" w:color="auto"/>
          </w:divBdr>
          <w:divsChild>
            <w:div w:id="1784880927">
              <w:marLeft w:val="0"/>
              <w:marRight w:val="0"/>
              <w:marTop w:val="0"/>
              <w:marBottom w:val="0"/>
              <w:divBdr>
                <w:top w:val="single" w:sz="8" w:space="0" w:color="000000"/>
                <w:left w:val="single" w:sz="8" w:space="0" w:color="000000"/>
                <w:bottom w:val="single" w:sz="8" w:space="0" w:color="000000"/>
                <w:right w:val="single" w:sz="8" w:space="0" w:color="000000"/>
              </w:divBdr>
            </w:div>
            <w:div w:id="1723401770">
              <w:marLeft w:val="0"/>
              <w:marRight w:val="0"/>
              <w:marTop w:val="0"/>
              <w:marBottom w:val="0"/>
              <w:divBdr>
                <w:top w:val="none" w:sz="0" w:space="0" w:color="auto"/>
                <w:left w:val="none" w:sz="0" w:space="0" w:color="auto"/>
                <w:bottom w:val="none" w:sz="0" w:space="0" w:color="auto"/>
                <w:right w:val="none" w:sz="0" w:space="0" w:color="auto"/>
              </w:divBdr>
            </w:div>
          </w:divsChild>
        </w:div>
        <w:div w:id="292365141">
          <w:marLeft w:val="0"/>
          <w:marRight w:val="0"/>
          <w:marTop w:val="0"/>
          <w:marBottom w:val="0"/>
          <w:divBdr>
            <w:top w:val="none" w:sz="0" w:space="0" w:color="auto"/>
            <w:left w:val="none" w:sz="0" w:space="0" w:color="auto"/>
            <w:bottom w:val="none" w:sz="0" w:space="0" w:color="auto"/>
            <w:right w:val="none" w:sz="0" w:space="0" w:color="auto"/>
          </w:divBdr>
          <w:divsChild>
            <w:div w:id="1183738372">
              <w:marLeft w:val="0"/>
              <w:marRight w:val="0"/>
              <w:marTop w:val="0"/>
              <w:marBottom w:val="0"/>
              <w:divBdr>
                <w:top w:val="none" w:sz="0" w:space="0" w:color="auto"/>
                <w:left w:val="none" w:sz="0" w:space="0" w:color="auto"/>
                <w:bottom w:val="none" w:sz="0" w:space="0" w:color="auto"/>
                <w:right w:val="none" w:sz="0" w:space="0" w:color="auto"/>
              </w:divBdr>
            </w:div>
            <w:div w:id="1168906605">
              <w:marLeft w:val="0"/>
              <w:marRight w:val="0"/>
              <w:marTop w:val="0"/>
              <w:marBottom w:val="0"/>
              <w:divBdr>
                <w:top w:val="single" w:sz="8" w:space="0" w:color="000000"/>
                <w:left w:val="single" w:sz="8" w:space="0" w:color="000000"/>
                <w:bottom w:val="single" w:sz="8" w:space="0" w:color="000000"/>
                <w:right w:val="single" w:sz="8" w:space="0" w:color="000000"/>
              </w:divBdr>
            </w:div>
            <w:div w:id="2128502918">
              <w:marLeft w:val="0"/>
              <w:marRight w:val="0"/>
              <w:marTop w:val="0"/>
              <w:marBottom w:val="0"/>
              <w:divBdr>
                <w:top w:val="none" w:sz="0" w:space="0" w:color="auto"/>
                <w:left w:val="none" w:sz="0" w:space="0" w:color="auto"/>
                <w:bottom w:val="none" w:sz="0" w:space="0" w:color="auto"/>
                <w:right w:val="none" w:sz="0" w:space="0" w:color="auto"/>
              </w:divBdr>
            </w:div>
          </w:divsChild>
        </w:div>
        <w:div w:id="836073252">
          <w:marLeft w:val="0"/>
          <w:marRight w:val="0"/>
          <w:marTop w:val="0"/>
          <w:marBottom w:val="0"/>
          <w:divBdr>
            <w:top w:val="none" w:sz="0" w:space="0" w:color="auto"/>
            <w:left w:val="none" w:sz="0" w:space="0" w:color="auto"/>
            <w:bottom w:val="none" w:sz="0" w:space="0" w:color="auto"/>
            <w:right w:val="none" w:sz="0" w:space="0" w:color="auto"/>
          </w:divBdr>
          <w:divsChild>
            <w:div w:id="105781294">
              <w:marLeft w:val="0"/>
              <w:marRight w:val="0"/>
              <w:marTop w:val="0"/>
              <w:marBottom w:val="0"/>
              <w:divBdr>
                <w:top w:val="none" w:sz="0" w:space="0" w:color="auto"/>
                <w:left w:val="none" w:sz="0" w:space="0" w:color="auto"/>
                <w:bottom w:val="none" w:sz="0" w:space="0" w:color="auto"/>
                <w:right w:val="none" w:sz="0" w:space="0" w:color="auto"/>
              </w:divBdr>
            </w:div>
            <w:div w:id="597754069">
              <w:marLeft w:val="0"/>
              <w:marRight w:val="0"/>
              <w:marTop w:val="0"/>
              <w:marBottom w:val="0"/>
              <w:divBdr>
                <w:top w:val="single" w:sz="8" w:space="0" w:color="000000"/>
                <w:left w:val="single" w:sz="8" w:space="0" w:color="000000"/>
                <w:bottom w:val="single" w:sz="8" w:space="0" w:color="000000"/>
                <w:right w:val="single" w:sz="8" w:space="0" w:color="000000"/>
              </w:divBdr>
            </w:div>
            <w:div w:id="209423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ecfr.gpoaccess.gov/cgi/t/text/text-idx?c=ecfr;rgn=div2;view=text;node=20110321%3A1.20;idno=40;sid=80706828579744231a7c668a07820fa3;cc=ecfr;start=1;size=25" TargetMode="External"/><Relationship Id="rId18" Type="http://schemas.openxmlformats.org/officeDocument/2006/relationships/hyperlink" Target="http://www.access.gpo.gov/ecfr/graphics/pdfs/ec01jn92.009.pdf"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gif"/><Relationship Id="rId2" Type="http://schemas.openxmlformats.org/officeDocument/2006/relationships/settings" Target="settings.xml"/><Relationship Id="rId16" Type="http://schemas.openxmlformats.org/officeDocument/2006/relationships/hyperlink" Target="http://www.access.gpo.gov/ecfr/graphics/pdfs/ec01jn92.008.pdf"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cfr.gpoaccess.gov/cgi/t/text/text-idx?c=ecfr;rgn=div6;view=text;node=40%3A6.0.1.1.1.2;idno=40;sid=80706828579744231a7c668a07820fa3;cc=ecfr"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1.gif"/><Relationship Id="rId10" Type="http://schemas.openxmlformats.org/officeDocument/2006/relationships/footer" Target="footer2.xml"/><Relationship Id="rId19"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yperlink" Target="http://ecfr.gpoaccess.gov/cgi/t/text/text-idx?c=ecfr;rgn=div2;view=text;node=20110321%3A1.27;idno=40;sid=80706828579744231a7c668a07820fa3;cc=ecfr;start=1;size=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93</Pages>
  <Words>37914</Words>
  <Characters>216112</Characters>
  <Application>Microsoft Office Word</Application>
  <DocSecurity>0</DocSecurity>
  <Lines>1800</Lines>
  <Paragraphs>507</Paragraphs>
  <ScaleCrop>false</ScaleCrop>
  <Company/>
  <LinksUpToDate>false</LinksUpToDate>
  <CharactersWithSpaces>253519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2011-04-05T16:29:00Z</dcterms:created>
  <dcterms:modified xsi:type="dcterms:W3CDTF">2011-04-05T16:29:00Z</dcterms:modified>
</cp:coreProperties>
</file>